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030A3" w14:textId="493C01AB" w:rsidR="004C7C11" w:rsidRPr="00FE4028" w:rsidRDefault="004C7C11" w:rsidP="00FE4028">
      <w:pPr>
        <w:spacing w:after="0" w:line="240" w:lineRule="auto"/>
        <w:jc w:val="right"/>
        <w:rPr>
          <w:rFonts w:ascii="Alef" w:hAnsi="Alef" w:cs="Alef"/>
          <w:rtl/>
        </w:rPr>
      </w:pPr>
      <w:bookmarkStart w:id="0" w:name="_GoBack"/>
      <w:bookmarkEnd w:id="0"/>
      <w:r w:rsidRPr="00FE4028">
        <w:rPr>
          <w:rFonts w:ascii="Alef" w:hAnsi="Alef" w:cs="Alef"/>
          <w:rtl/>
        </w:rPr>
        <w:t>‏</w:t>
      </w:r>
      <w:r w:rsidRPr="00FE4028">
        <w:rPr>
          <w:rFonts w:ascii="Alef" w:hAnsi="Alef" w:cs="Alef" w:hint="eastAsia"/>
          <w:rtl/>
        </w:rPr>
        <w:t>ירושלים</w:t>
      </w:r>
      <w:r w:rsidRPr="00FE4028">
        <w:rPr>
          <w:rFonts w:ascii="Alef" w:hAnsi="Alef" w:cs="Alef"/>
          <w:rtl/>
        </w:rPr>
        <w:t xml:space="preserve">, </w:t>
      </w:r>
      <w:r w:rsidR="00FE4028" w:rsidRPr="00FE4028">
        <w:rPr>
          <w:rFonts w:ascii="Alef" w:hAnsi="Alef" w:cs="Alef" w:hint="cs"/>
          <w:rtl/>
        </w:rPr>
        <w:t>ד</w:t>
      </w:r>
      <w:r w:rsidR="00B22098" w:rsidRPr="00FE4028">
        <w:rPr>
          <w:rFonts w:ascii="Alef" w:hAnsi="Alef" w:cs="Alef"/>
          <w:rtl/>
        </w:rPr>
        <w:t xml:space="preserve">' </w:t>
      </w:r>
      <w:r w:rsidR="00FE4028">
        <w:rPr>
          <w:rFonts w:ascii="Alef" w:hAnsi="Alef" w:cs="Alef" w:hint="cs"/>
          <w:rtl/>
        </w:rPr>
        <w:t>ב</w:t>
      </w:r>
      <w:r w:rsidR="00B22098" w:rsidRPr="00FE4028">
        <w:rPr>
          <w:rFonts w:ascii="Alef" w:hAnsi="Alef" w:cs="Alef"/>
          <w:rtl/>
        </w:rPr>
        <w:t xml:space="preserve">שבט, </w:t>
      </w:r>
      <w:proofErr w:type="spellStart"/>
      <w:r w:rsidR="00B22098" w:rsidRPr="00FE4028">
        <w:rPr>
          <w:rFonts w:ascii="Alef" w:hAnsi="Alef" w:cs="Alef"/>
          <w:rtl/>
        </w:rPr>
        <w:t>תש"</w:t>
      </w:r>
      <w:r w:rsidR="00B22098" w:rsidRPr="00FE4028">
        <w:rPr>
          <w:rFonts w:ascii="Alef" w:hAnsi="Alef" w:cs="Alef" w:hint="cs"/>
          <w:rtl/>
        </w:rPr>
        <w:t>ף</w:t>
      </w:r>
      <w:proofErr w:type="spellEnd"/>
    </w:p>
    <w:p w14:paraId="4C25880A" w14:textId="399DDF2C" w:rsidR="004C7C11" w:rsidRPr="00950BE5" w:rsidRDefault="004C7C11" w:rsidP="00FE4028">
      <w:pPr>
        <w:spacing w:after="240" w:line="240" w:lineRule="auto"/>
        <w:jc w:val="right"/>
        <w:rPr>
          <w:rFonts w:ascii="Alef" w:hAnsi="Alef" w:cs="Alef"/>
          <w:rtl/>
        </w:rPr>
      </w:pPr>
      <w:r w:rsidRPr="00FE4028">
        <w:rPr>
          <w:rFonts w:ascii="Alef" w:hAnsi="Alef" w:cs="Alef" w:hint="eastAsia"/>
          <w:rtl/>
        </w:rPr>
        <w:t>‏</w:t>
      </w:r>
      <w:r w:rsidR="00FE4028" w:rsidRPr="00FE4028">
        <w:rPr>
          <w:rFonts w:ascii="Alef" w:hAnsi="Alef" w:cs="Alef" w:hint="cs"/>
          <w:rtl/>
        </w:rPr>
        <w:t>30</w:t>
      </w:r>
      <w:r w:rsidR="00B22098" w:rsidRPr="00FE4028">
        <w:rPr>
          <w:rFonts w:ascii="Alef" w:hAnsi="Alef" w:cs="Alef"/>
          <w:rtl/>
        </w:rPr>
        <w:t xml:space="preserve"> </w:t>
      </w:r>
      <w:r w:rsidRPr="00FE4028">
        <w:rPr>
          <w:rFonts w:ascii="Alef" w:hAnsi="Alef" w:cs="Alef" w:hint="eastAsia"/>
          <w:rtl/>
        </w:rPr>
        <w:t>ב</w:t>
      </w:r>
      <w:r w:rsidRPr="00FE4028">
        <w:rPr>
          <w:rFonts w:ascii="Alef" w:hAnsi="Alef" w:cs="Alef"/>
          <w:rtl/>
        </w:rPr>
        <w:t>ינואר 2020</w:t>
      </w:r>
    </w:p>
    <w:p w14:paraId="56E0C751" w14:textId="41816C01" w:rsidR="004C7C11" w:rsidRPr="00950BE5" w:rsidRDefault="004C7C11" w:rsidP="00950BE5">
      <w:pPr>
        <w:pStyle w:val="Title"/>
        <w:spacing w:line="276" w:lineRule="auto"/>
        <w:jc w:val="center"/>
        <w:rPr>
          <w:rFonts w:ascii="Alef" w:hAnsi="Alef" w:cs="Alef"/>
          <w:b/>
          <w:bCs/>
          <w:sz w:val="24"/>
          <w:szCs w:val="24"/>
          <w:u w:val="single"/>
          <w:rtl/>
        </w:rPr>
      </w:pPr>
      <w:r w:rsidRPr="00950BE5">
        <w:rPr>
          <w:rFonts w:ascii="Alef" w:hAnsi="Alef" w:cs="Alef"/>
          <w:b/>
          <w:bCs/>
          <w:sz w:val="24"/>
          <w:szCs w:val="24"/>
          <w:u w:val="single"/>
          <w:rtl/>
        </w:rPr>
        <w:t>מסמך עקרונות לייעוץ לתחרות ענפית במכירת אתרי הייצור</w:t>
      </w:r>
      <w:r w:rsidR="004A42CB">
        <w:rPr>
          <w:rFonts w:ascii="Alef" w:hAnsi="Alef" w:cs="Alef" w:hint="cs"/>
          <w:b/>
          <w:bCs/>
          <w:sz w:val="24"/>
          <w:szCs w:val="24"/>
          <w:u w:val="single"/>
          <w:rtl/>
        </w:rPr>
        <w:t xml:space="preserve"> (מתוקן ומעודכן לינואר 2020)</w:t>
      </w:r>
    </w:p>
    <w:p w14:paraId="084B468C" w14:textId="77777777" w:rsidR="004C7C11" w:rsidRPr="00950BE5" w:rsidRDefault="004C7C11" w:rsidP="00950BE5">
      <w:pPr>
        <w:pStyle w:val="Heading1"/>
        <w:spacing w:line="276" w:lineRule="auto"/>
        <w:rPr>
          <w:rFonts w:ascii="Alef" w:hAnsi="Alef" w:cs="Alef"/>
          <w:rtl/>
        </w:rPr>
      </w:pPr>
      <w:r w:rsidRPr="00950BE5">
        <w:rPr>
          <w:rFonts w:ascii="Alef" w:hAnsi="Alef" w:cs="Alef"/>
          <w:rtl/>
        </w:rPr>
        <w:t>מבוא</w:t>
      </w:r>
    </w:p>
    <w:p w14:paraId="4ADE0D59" w14:textId="4D5BF87D" w:rsidR="004C7C11" w:rsidRPr="00950BE5" w:rsidRDefault="004C7C11" w:rsidP="00665D88">
      <w:pPr>
        <w:autoSpaceDE w:val="0"/>
        <w:autoSpaceDN w:val="0"/>
        <w:adjustRightInd w:val="0"/>
        <w:spacing w:after="240" w:line="276" w:lineRule="auto"/>
        <w:jc w:val="both"/>
        <w:rPr>
          <w:rFonts w:ascii="Alef" w:hAnsi="Alef" w:cs="Alef"/>
          <w:sz w:val="24"/>
          <w:szCs w:val="24"/>
          <w:rtl/>
        </w:rPr>
      </w:pPr>
      <w:r w:rsidRPr="00950BE5">
        <w:rPr>
          <w:rFonts w:ascii="Alef" w:hAnsi="Alef" w:cs="Alef"/>
          <w:sz w:val="24"/>
          <w:szCs w:val="24"/>
          <w:rtl/>
        </w:rPr>
        <w:t xml:space="preserve">מסמך זה נכתב על רקע החלטת הממשלה מס' 3859 מיום 3.6.2018 בנושא "רפורמה במשק החשמל ושינוי מבני בחברת החשמל, ותיקון החלטת ממשלה" (להלן </w:t>
      </w:r>
      <w:r w:rsidRPr="00950BE5">
        <w:rPr>
          <w:rFonts w:ascii="Alef" w:hAnsi="Alef" w:cs="Alef"/>
          <w:b/>
          <w:bCs/>
          <w:sz w:val="24"/>
          <w:szCs w:val="24"/>
          <w:rtl/>
        </w:rPr>
        <w:t>החלטת הממשלה</w:t>
      </w:r>
      <w:r w:rsidRPr="00950BE5">
        <w:rPr>
          <w:rFonts w:ascii="Alef" w:hAnsi="Alef" w:cs="Alef"/>
          <w:sz w:val="24"/>
          <w:szCs w:val="24"/>
          <w:rtl/>
        </w:rPr>
        <w:t xml:space="preserve"> או </w:t>
      </w:r>
      <w:r w:rsidRPr="00950BE5">
        <w:rPr>
          <w:rFonts w:ascii="Alef" w:hAnsi="Alef" w:cs="Alef"/>
          <w:b/>
          <w:bCs/>
          <w:sz w:val="24"/>
          <w:szCs w:val="24"/>
          <w:rtl/>
        </w:rPr>
        <w:t>הרפורמה</w:t>
      </w:r>
      <w:r w:rsidRPr="00950BE5">
        <w:rPr>
          <w:rFonts w:ascii="Alef" w:hAnsi="Alef" w:cs="Alef"/>
          <w:sz w:val="24"/>
          <w:szCs w:val="24"/>
          <w:rtl/>
        </w:rPr>
        <w:t>).</w:t>
      </w:r>
      <w:r w:rsidRPr="00950BE5">
        <w:rPr>
          <w:rStyle w:val="FootnoteReference"/>
          <w:rFonts w:ascii="Alef" w:hAnsi="Alef" w:cs="Alef"/>
          <w:sz w:val="24"/>
          <w:szCs w:val="24"/>
          <w:rtl/>
        </w:rPr>
        <w:footnoteReference w:id="1"/>
      </w:r>
      <w:r w:rsidRPr="00950BE5">
        <w:rPr>
          <w:rFonts w:ascii="Alef" w:hAnsi="Alef" w:cs="Alef"/>
          <w:sz w:val="24"/>
          <w:szCs w:val="24"/>
          <w:rtl/>
        </w:rPr>
        <w:t xml:space="preserve"> מטרת המסמך להציג עקרונות שתשקול רשות התחרות (להלן </w:t>
      </w:r>
      <w:r w:rsidRPr="00950BE5">
        <w:rPr>
          <w:rFonts w:ascii="Alef" w:hAnsi="Alef" w:cs="Alef"/>
          <w:b/>
          <w:bCs/>
          <w:sz w:val="24"/>
          <w:szCs w:val="24"/>
          <w:rtl/>
        </w:rPr>
        <w:t>הרשות</w:t>
      </w:r>
      <w:r w:rsidRPr="00950BE5">
        <w:rPr>
          <w:rFonts w:ascii="Alef" w:hAnsi="Alef" w:cs="Alef"/>
          <w:sz w:val="24"/>
          <w:szCs w:val="24"/>
          <w:rtl/>
        </w:rPr>
        <w:t xml:space="preserve">) לייעוץ לתחרות ענפית בתום שלב המיון המוקדם בהליכים למכירת אתרי הייצור של חברת החשמל, כפי שהוחלט בסעיף 22 להחלטת הממשלה. </w:t>
      </w:r>
      <w:r w:rsidR="00DF5A55" w:rsidRPr="00950BE5">
        <w:rPr>
          <w:rFonts w:ascii="Alef" w:hAnsi="Alef" w:cs="Alef" w:hint="cs"/>
          <w:sz w:val="24"/>
          <w:szCs w:val="24"/>
          <w:rtl/>
        </w:rPr>
        <w:t>מסמך זה מהווה עדכון למסמך הקודם שפרסמה הרשות ביום 3.1.2019,</w:t>
      </w:r>
      <w:r w:rsidR="00A6371D" w:rsidRPr="00950BE5">
        <w:rPr>
          <w:rStyle w:val="FootnoteReference"/>
          <w:rFonts w:ascii="Alef" w:hAnsi="Alef" w:cs="Alef"/>
          <w:sz w:val="24"/>
          <w:szCs w:val="24"/>
          <w:rtl/>
        </w:rPr>
        <w:footnoteReference w:id="2"/>
      </w:r>
      <w:r w:rsidR="00DF5A55" w:rsidRPr="00950BE5">
        <w:rPr>
          <w:rFonts w:ascii="Alef" w:hAnsi="Alef" w:cs="Alef" w:hint="cs"/>
          <w:sz w:val="24"/>
          <w:szCs w:val="24"/>
          <w:rtl/>
        </w:rPr>
        <w:t xml:space="preserve"> </w:t>
      </w:r>
      <w:r w:rsidR="003377BF">
        <w:rPr>
          <w:rFonts w:ascii="Alef" w:hAnsi="Alef" w:cs="Alef" w:hint="cs"/>
          <w:sz w:val="24"/>
          <w:szCs w:val="24"/>
          <w:rtl/>
        </w:rPr>
        <w:t xml:space="preserve">לאחר שמסמך העקרונות המעודכן עמד לשימוע ציבורי בהתאם </w:t>
      </w:r>
      <w:r w:rsidR="00DF5A55" w:rsidRPr="00950BE5">
        <w:rPr>
          <w:rFonts w:ascii="Alef" w:hAnsi="Alef" w:cs="Alef" w:hint="cs"/>
          <w:sz w:val="24"/>
          <w:szCs w:val="24"/>
          <w:rtl/>
        </w:rPr>
        <w:t xml:space="preserve">להודעת </w:t>
      </w:r>
      <w:r w:rsidR="003377BF">
        <w:rPr>
          <w:rFonts w:ascii="Alef" w:hAnsi="Alef" w:cs="Alef" w:hint="cs"/>
          <w:sz w:val="24"/>
          <w:szCs w:val="24"/>
          <w:rtl/>
        </w:rPr>
        <w:t>הרשות</w:t>
      </w:r>
      <w:r w:rsidR="003377BF" w:rsidRPr="00950BE5">
        <w:rPr>
          <w:rFonts w:ascii="Alef" w:hAnsi="Alef" w:cs="Alef" w:hint="cs"/>
          <w:sz w:val="24"/>
          <w:szCs w:val="24"/>
          <w:rtl/>
        </w:rPr>
        <w:t xml:space="preserve"> </w:t>
      </w:r>
      <w:r w:rsidR="00DF5A55" w:rsidRPr="00950BE5">
        <w:rPr>
          <w:rFonts w:ascii="Alef" w:hAnsi="Alef" w:cs="Alef" w:hint="cs"/>
          <w:sz w:val="24"/>
          <w:szCs w:val="24"/>
          <w:rtl/>
        </w:rPr>
        <w:t>שפרסמה הרשות ביום 15.1.</w:t>
      </w:r>
      <w:r w:rsidR="003377BF">
        <w:rPr>
          <w:rFonts w:ascii="Alef" w:hAnsi="Alef" w:cs="Alef" w:hint="cs"/>
          <w:sz w:val="24"/>
          <w:szCs w:val="24"/>
          <w:rtl/>
        </w:rPr>
        <w:t>20</w:t>
      </w:r>
      <w:r w:rsidR="00DF5A55" w:rsidRPr="00950BE5">
        <w:rPr>
          <w:rFonts w:ascii="Alef" w:hAnsi="Alef" w:cs="Alef" w:hint="cs"/>
          <w:sz w:val="24"/>
          <w:szCs w:val="24"/>
          <w:rtl/>
        </w:rPr>
        <w:t>20.</w:t>
      </w:r>
      <w:r w:rsidR="00A6371D" w:rsidRPr="00950BE5">
        <w:rPr>
          <w:rStyle w:val="FootnoteReference"/>
          <w:rFonts w:ascii="Alef" w:hAnsi="Alef" w:cs="Alef"/>
          <w:sz w:val="24"/>
          <w:szCs w:val="24"/>
          <w:rtl/>
        </w:rPr>
        <w:footnoteReference w:id="3"/>
      </w:r>
      <w:r w:rsidR="00DF5A55" w:rsidRPr="00950BE5">
        <w:rPr>
          <w:rFonts w:ascii="Alef" w:hAnsi="Alef" w:cs="Alef" w:hint="cs"/>
          <w:sz w:val="24"/>
          <w:szCs w:val="24"/>
          <w:rtl/>
        </w:rPr>
        <w:t xml:space="preserve"> </w:t>
      </w:r>
      <w:r w:rsidRPr="00950BE5">
        <w:rPr>
          <w:rFonts w:ascii="Alef" w:hAnsi="Alef" w:cs="Alef"/>
          <w:sz w:val="24"/>
          <w:szCs w:val="24"/>
          <w:rtl/>
        </w:rPr>
        <w:t>מדובר במסמך עקרונות מנחה בלבד והוא אינו גורע מכוונת הרשות לבחון באופן פרטני את נסיבותיו של כל הליך תחרותי</w:t>
      </w:r>
      <w:r w:rsidR="003377BF">
        <w:rPr>
          <w:rFonts w:ascii="Alef" w:hAnsi="Alef" w:cs="Alef" w:hint="cs"/>
          <w:sz w:val="24"/>
          <w:szCs w:val="24"/>
          <w:rtl/>
        </w:rPr>
        <w:t xml:space="preserve"> למכירת אתר ייצור</w:t>
      </w:r>
      <w:r w:rsidRPr="00950BE5">
        <w:rPr>
          <w:rFonts w:ascii="Alef" w:hAnsi="Alef" w:cs="Alef"/>
          <w:sz w:val="24"/>
          <w:szCs w:val="24"/>
          <w:rtl/>
        </w:rPr>
        <w:t xml:space="preserve"> וליישם את העקרונות המפורטים מטה בשינויים הנדרשים בכל מקרה.</w:t>
      </w:r>
    </w:p>
    <w:p w14:paraId="43B2FAC8" w14:textId="31C4A8C4" w:rsidR="004C7C11" w:rsidRPr="00950BE5" w:rsidRDefault="004C7C11" w:rsidP="00CC732E">
      <w:pPr>
        <w:spacing w:after="240" w:line="276" w:lineRule="auto"/>
        <w:jc w:val="both"/>
        <w:rPr>
          <w:rFonts w:ascii="Alef" w:hAnsi="Alef" w:cs="Alef"/>
          <w:sz w:val="24"/>
          <w:szCs w:val="24"/>
          <w:rtl/>
        </w:rPr>
      </w:pPr>
      <w:r w:rsidRPr="00950BE5">
        <w:rPr>
          <w:rFonts w:ascii="Alef" w:hAnsi="Alef" w:cs="Alef"/>
          <w:sz w:val="24"/>
          <w:szCs w:val="24"/>
          <w:rtl/>
        </w:rPr>
        <w:t xml:space="preserve">היצע החשמל בישראל נקבע על ידי המדינה באמצעות רשות החשמל, המשמשת מאסדר לנושא זה מתוקף הוראות חוק משק החשמל </w:t>
      </w:r>
      <w:proofErr w:type="spellStart"/>
      <w:r w:rsidRPr="00950BE5">
        <w:rPr>
          <w:rFonts w:ascii="Alef" w:hAnsi="Alef" w:cs="Alef"/>
          <w:sz w:val="24"/>
          <w:szCs w:val="24"/>
          <w:rtl/>
        </w:rPr>
        <w:t>התשנ"ו</w:t>
      </w:r>
      <w:proofErr w:type="spellEnd"/>
      <w:r w:rsidRPr="00950BE5">
        <w:rPr>
          <w:rFonts w:ascii="Alef" w:hAnsi="Alef" w:cs="Alef"/>
          <w:sz w:val="24"/>
          <w:szCs w:val="24"/>
          <w:rtl/>
        </w:rPr>
        <w:t xml:space="preserve"> – 1996 (להלן</w:t>
      </w:r>
      <w:r w:rsidR="00CC732E">
        <w:rPr>
          <w:rFonts w:ascii="Alef" w:hAnsi="Alef" w:cs="Alef" w:hint="cs"/>
          <w:sz w:val="24"/>
          <w:szCs w:val="24"/>
          <w:rtl/>
        </w:rPr>
        <w:t xml:space="preserve"> </w:t>
      </w:r>
      <w:r w:rsidRPr="00950BE5">
        <w:rPr>
          <w:rFonts w:ascii="Alef" w:hAnsi="Alef" w:cs="Alef"/>
          <w:b/>
          <w:bCs/>
          <w:sz w:val="24"/>
          <w:szCs w:val="24"/>
          <w:rtl/>
        </w:rPr>
        <w:t>חוק משק החשמל</w:t>
      </w:r>
      <w:r w:rsidRPr="00950BE5">
        <w:rPr>
          <w:rFonts w:ascii="Alef" w:hAnsi="Alef" w:cs="Alef"/>
          <w:sz w:val="24"/>
          <w:szCs w:val="24"/>
          <w:rtl/>
        </w:rPr>
        <w:t>)</w:t>
      </w:r>
      <w:r w:rsidRPr="00950BE5">
        <w:rPr>
          <w:rFonts w:ascii="Alef" w:hAnsi="Alef" w:cs="Alef"/>
          <w:color w:val="5B9BD5" w:themeColor="accent1"/>
          <w:sz w:val="24"/>
          <w:szCs w:val="24"/>
          <w:rtl/>
        </w:rPr>
        <w:t xml:space="preserve">. </w:t>
      </w:r>
      <w:r w:rsidRPr="00950BE5">
        <w:rPr>
          <w:rFonts w:ascii="Alef" w:hAnsi="Alef" w:cs="Alef"/>
          <w:sz w:val="24"/>
          <w:szCs w:val="24"/>
          <w:rtl/>
        </w:rPr>
        <w:t xml:space="preserve">משק החשמל בנוי מחמישה מקטעי פעילות: ניהול המערכת, מקטע הייצור, מקטע ההולכה, מקטע החלוקה ומקטע האספקה. עד לחקיקת חוק משק החשמל רוכז משק החשמל כולו, על מקטעיו השונים, בידי חברת החשמל לישראל בע"מ (להלן </w:t>
      </w:r>
      <w:r w:rsidRPr="00950BE5">
        <w:rPr>
          <w:rFonts w:ascii="Alef" w:hAnsi="Alef" w:cs="Alef"/>
          <w:b/>
          <w:bCs/>
          <w:sz w:val="24"/>
          <w:szCs w:val="24"/>
          <w:rtl/>
        </w:rPr>
        <w:t>חברת החשמל</w:t>
      </w:r>
      <w:r w:rsidRPr="00950BE5">
        <w:rPr>
          <w:rFonts w:ascii="Alef" w:hAnsi="Alef" w:cs="Alef"/>
          <w:sz w:val="24"/>
          <w:szCs w:val="24"/>
          <w:rtl/>
        </w:rPr>
        <w:t>), והיא הייתה הגורם הבלעדי המייצר, מוליך ומחלק את כלל החשמל הנצרך במשק הישראלי.</w:t>
      </w:r>
      <w:r w:rsidRPr="00950BE5">
        <w:rPr>
          <w:rStyle w:val="FootnoteReference"/>
          <w:rFonts w:ascii="Alef" w:hAnsi="Alef" w:cs="Alef"/>
          <w:sz w:val="24"/>
          <w:szCs w:val="24"/>
          <w:rtl/>
        </w:rPr>
        <w:footnoteReference w:id="4"/>
      </w:r>
      <w:r w:rsidRPr="00950BE5">
        <w:rPr>
          <w:rFonts w:ascii="Alef" w:hAnsi="Alef" w:cs="Alef"/>
          <w:sz w:val="24"/>
          <w:szCs w:val="24"/>
          <w:rtl/>
        </w:rPr>
        <w:t xml:space="preserve"> במהלך השנים ננקטו צעדים רבים ושונים במטרה לקדם את התחרות במשק החשמל. בשנת 2007, משמרבית הצעדים לא צלחו, נקבע בחוק משק החשמל כי חברת החשמל לא תורשה יותר להקים אתרי ייצור.</w:t>
      </w:r>
    </w:p>
    <w:p w14:paraId="444B9044" w14:textId="77777777" w:rsidR="004C7C11" w:rsidRPr="00950BE5" w:rsidRDefault="004C7C11" w:rsidP="00950BE5">
      <w:pPr>
        <w:spacing w:after="240" w:line="276" w:lineRule="auto"/>
        <w:jc w:val="both"/>
        <w:rPr>
          <w:rFonts w:ascii="Alef" w:hAnsi="Alef" w:cs="Alef"/>
          <w:sz w:val="24"/>
          <w:szCs w:val="24"/>
          <w:rtl/>
        </w:rPr>
      </w:pPr>
      <w:r w:rsidRPr="00950BE5">
        <w:rPr>
          <w:rFonts w:ascii="Alef" w:hAnsi="Alef" w:cs="Alef"/>
          <w:sz w:val="24"/>
          <w:szCs w:val="24"/>
          <w:rtl/>
        </w:rPr>
        <w:lastRenderedPageBreak/>
        <w:t xml:space="preserve">לנוכח התיקון האמור בחוק משק החשמל והגידול המתמשך בביקוש לחשמל, פעלה רשות החשמל לקביעת </w:t>
      </w:r>
      <w:proofErr w:type="spellStart"/>
      <w:r w:rsidRPr="00950BE5">
        <w:rPr>
          <w:rFonts w:ascii="Alef" w:hAnsi="Alef" w:cs="Alef"/>
          <w:sz w:val="24"/>
          <w:szCs w:val="24"/>
          <w:rtl/>
        </w:rPr>
        <w:t>אסדרות</w:t>
      </w:r>
      <w:proofErr w:type="spellEnd"/>
      <w:r w:rsidRPr="00950BE5">
        <w:rPr>
          <w:rFonts w:ascii="Alef" w:hAnsi="Alef" w:cs="Alef"/>
          <w:sz w:val="24"/>
          <w:szCs w:val="24"/>
          <w:rtl/>
        </w:rPr>
        <w:t xml:space="preserve"> לכניסת יצרנים פרטיים למשק. בהמשך לכך, במהלך המחצית השנייה של שנת 2013 החלו לפעול יצרני חשמל פרטיים במקטעי ייצור החשמל ואספקתו לצד חברת החשמל. </w:t>
      </w:r>
    </w:p>
    <w:p w14:paraId="21EA50BB" w14:textId="608B3B59" w:rsidR="004C7C11" w:rsidRPr="00950BE5" w:rsidRDefault="004C7C11" w:rsidP="00CC732E">
      <w:pPr>
        <w:spacing w:after="240" w:line="276" w:lineRule="auto"/>
        <w:jc w:val="both"/>
        <w:rPr>
          <w:rFonts w:ascii="Alef" w:eastAsia="Calibri" w:hAnsi="Alef" w:cs="Alef"/>
          <w:sz w:val="24"/>
          <w:szCs w:val="24"/>
          <w:rtl/>
        </w:rPr>
      </w:pPr>
      <w:r w:rsidRPr="00950BE5">
        <w:rPr>
          <w:rFonts w:ascii="Alef" w:hAnsi="Alef" w:cs="Alef"/>
          <w:sz w:val="24"/>
          <w:szCs w:val="24"/>
          <w:rtl/>
        </w:rPr>
        <w:t xml:space="preserve">בישראל פועלים כיום יצרני חשמל פרטיים המייצרים בטכנולוגיות שונות: ייצור באנרגיות מתחדשות (יצור חשמל שמקור האנרגיה שלו הוא שמש, רוח, מים, פסולת או ביומסה, מלבד דלק מאובנים), אגירה שאובה, </w:t>
      </w:r>
      <w:proofErr w:type="spellStart"/>
      <w:r w:rsidRPr="00950BE5">
        <w:rPr>
          <w:rFonts w:ascii="Alef" w:hAnsi="Alef" w:cs="Alef"/>
          <w:sz w:val="24"/>
          <w:szCs w:val="24"/>
          <w:rtl/>
        </w:rPr>
        <w:t>קוגנרציה</w:t>
      </w:r>
      <w:proofErr w:type="spellEnd"/>
      <w:r w:rsidRPr="00950BE5">
        <w:rPr>
          <w:rFonts w:ascii="Alef" w:hAnsi="Alef" w:cs="Alef"/>
          <w:sz w:val="24"/>
          <w:szCs w:val="24"/>
          <w:rtl/>
        </w:rPr>
        <w:t xml:space="preserve"> ובטכנולוגיות קונבנציונליות (טורבינות קיטור, טורבינות גז וטורבינות מחזור משולב). היצרנים השונים כפופים </w:t>
      </w:r>
      <w:proofErr w:type="spellStart"/>
      <w:r w:rsidRPr="00950BE5">
        <w:rPr>
          <w:rFonts w:ascii="Alef" w:hAnsi="Alef" w:cs="Alef"/>
          <w:sz w:val="24"/>
          <w:szCs w:val="24"/>
          <w:rtl/>
        </w:rPr>
        <w:t>לאסדרות</w:t>
      </w:r>
      <w:proofErr w:type="spellEnd"/>
      <w:r w:rsidRPr="00950BE5">
        <w:rPr>
          <w:rFonts w:ascii="Alef" w:hAnsi="Alef" w:cs="Alef"/>
          <w:sz w:val="24"/>
          <w:szCs w:val="24"/>
          <w:rtl/>
        </w:rPr>
        <w:t xml:space="preserve"> שונות, בין היתר כתלות בטכנולוגיית הייצור שלהם. ביום 3.6.2018 אושרה רפורמה במשק החשמל על ידי ממשלת ישראל וביום 19.7.2018 תוקן בהתאמה חוק משק החשמל. במסגרת הרפורמה נקבעו מספר צעדים, ואלו המרכזיים שבהם: הפרדת יחידת ניהול המערכת </w:t>
      </w:r>
      <w:proofErr w:type="spellStart"/>
      <w:r w:rsidRPr="00950BE5">
        <w:rPr>
          <w:rFonts w:ascii="Alef" w:hAnsi="Alef" w:cs="Alef"/>
          <w:sz w:val="24"/>
          <w:szCs w:val="24"/>
          <w:rtl/>
        </w:rPr>
        <w:t>והתפ"ט</w:t>
      </w:r>
      <w:proofErr w:type="spellEnd"/>
      <w:r w:rsidRPr="00950BE5">
        <w:rPr>
          <w:rFonts w:ascii="Alef" w:hAnsi="Alef" w:cs="Alef"/>
          <w:sz w:val="24"/>
          <w:szCs w:val="24"/>
          <w:rtl/>
        </w:rPr>
        <w:t xml:space="preserve"> (תכנון, פיתוח, טכנולוגיות) מחברת החשמל; מכירת חמישה אתרי ייצור; איסור על חברת החשמל לעסוק בהקמה, תפעול, תחזוקה, שחלוף ותכנון תחנות כוח בישראל, למעט הקמת חברת בת בבעלות מלאה של חברת חשמל אשר תקים שתי יחידות יצור המופעלות באמצעות גז טבעי באתר אורות רבין בטכנולוגית מחזור משולב (</w:t>
      </w:r>
      <w:proofErr w:type="spellStart"/>
      <w:r w:rsidRPr="00950BE5">
        <w:rPr>
          <w:rFonts w:ascii="Alef" w:hAnsi="Alef" w:cs="Alef"/>
          <w:sz w:val="24"/>
          <w:szCs w:val="24"/>
          <w:rtl/>
        </w:rPr>
        <w:t>מחז"מ</w:t>
      </w:r>
      <w:proofErr w:type="spellEnd"/>
      <w:r w:rsidRPr="00950BE5">
        <w:rPr>
          <w:rFonts w:ascii="Alef" w:hAnsi="Alef" w:cs="Alef"/>
          <w:sz w:val="24"/>
          <w:szCs w:val="24"/>
          <w:rtl/>
        </w:rPr>
        <w:t>); המשך פעולתה של חברת החשמל כמונופול במקטעי ההולכה והחלוקה; פתיחת</w:t>
      </w:r>
      <w:r w:rsidRPr="00950BE5">
        <w:rPr>
          <w:rFonts w:ascii="Alef" w:hAnsi="Alef" w:cs="Alef"/>
          <w:sz w:val="24"/>
          <w:szCs w:val="24"/>
        </w:rPr>
        <w:t xml:space="preserve"> </w:t>
      </w:r>
      <w:r w:rsidRPr="00950BE5">
        <w:rPr>
          <w:rFonts w:ascii="Alef" w:hAnsi="Alef" w:cs="Alef"/>
          <w:sz w:val="24"/>
          <w:szCs w:val="24"/>
          <w:rtl/>
        </w:rPr>
        <w:t xml:space="preserve">מקטע האספקה לתחרות; הקמת יחידת פיקוח הולכה בחברת החשמל; קידום התייעלות וגמישות ניהולית בחברה. </w:t>
      </w:r>
    </w:p>
    <w:p w14:paraId="3527C91C" w14:textId="77777777" w:rsidR="004C7C11" w:rsidRPr="00950BE5" w:rsidRDefault="004C7C11" w:rsidP="00950BE5">
      <w:pPr>
        <w:pStyle w:val="Heading1"/>
        <w:spacing w:line="276" w:lineRule="auto"/>
        <w:rPr>
          <w:rFonts w:ascii="Alef" w:hAnsi="Alef" w:cs="Alef"/>
          <w:rtl/>
        </w:rPr>
      </w:pPr>
      <w:r w:rsidRPr="00950BE5">
        <w:rPr>
          <w:rFonts w:ascii="Alef" w:hAnsi="Alef" w:cs="Alef"/>
          <w:rtl/>
        </w:rPr>
        <w:t>הליך מכירת אתרי הייצור</w:t>
      </w:r>
    </w:p>
    <w:p w14:paraId="525B1355" w14:textId="3E479227" w:rsidR="002B6D76" w:rsidRPr="00950BE5" w:rsidRDefault="004C7C11" w:rsidP="00CC732E">
      <w:pPr>
        <w:spacing w:after="240" w:line="276" w:lineRule="auto"/>
        <w:jc w:val="both"/>
        <w:rPr>
          <w:rFonts w:ascii="Alef" w:hAnsi="Alef" w:cs="Alef"/>
          <w:sz w:val="24"/>
          <w:szCs w:val="24"/>
          <w:rtl/>
        </w:rPr>
      </w:pPr>
      <w:r w:rsidRPr="00950BE5">
        <w:rPr>
          <w:rFonts w:ascii="Alef" w:hAnsi="Alef" w:cs="Alef"/>
          <w:sz w:val="24"/>
          <w:szCs w:val="24"/>
          <w:rtl/>
        </w:rPr>
        <w:t>על פי החלטת הממשלה, בטווח זמן של כחמש שנים וכמפורט מטה, חברת החשמל תמכור לצדדים שלישיים אתרי ייצור קיימים של חברת החשמל, לרבות התשתיות והקרקע של כל אתר (להלן</w:t>
      </w:r>
      <w:r w:rsidR="00CC732E">
        <w:rPr>
          <w:rFonts w:ascii="Alef" w:hAnsi="Alef" w:cs="Alef" w:hint="cs"/>
          <w:sz w:val="24"/>
          <w:szCs w:val="24"/>
          <w:rtl/>
        </w:rPr>
        <w:t xml:space="preserve"> </w:t>
      </w:r>
      <w:r w:rsidRPr="00950BE5">
        <w:rPr>
          <w:rFonts w:ascii="Alef" w:hAnsi="Alef" w:cs="Alef"/>
          <w:b/>
          <w:bCs/>
          <w:sz w:val="24"/>
          <w:szCs w:val="24"/>
          <w:rtl/>
        </w:rPr>
        <w:t>אתרי הייצור הנמכרים</w:t>
      </w:r>
      <w:r w:rsidRPr="00950BE5">
        <w:rPr>
          <w:rFonts w:ascii="Alef" w:hAnsi="Alef" w:cs="Alef"/>
          <w:sz w:val="24"/>
          <w:szCs w:val="24"/>
          <w:rtl/>
        </w:rPr>
        <w:t>). חלק מהאתרים כוללים גם עתודת קרקע שעליה ניתן להקים הספק נוסף לזה שנמכר.</w:t>
      </w:r>
      <w:r w:rsidR="002B6D76" w:rsidRPr="00950BE5">
        <w:rPr>
          <w:rFonts w:ascii="Alef" w:eastAsia="David" w:hAnsi="Alef" w:cs="Alef"/>
          <w:sz w:val="24"/>
          <w:szCs w:val="24"/>
          <w:rtl/>
        </w:rPr>
        <w:t xml:space="preserve"> </w:t>
      </w:r>
      <w:r w:rsidR="002B6D76" w:rsidRPr="00950BE5">
        <w:rPr>
          <w:rFonts w:ascii="Alef" w:hAnsi="Alef" w:cs="Alef"/>
          <w:sz w:val="24"/>
          <w:szCs w:val="24"/>
          <w:rtl/>
        </w:rPr>
        <w:t xml:space="preserve">ביום </w:t>
      </w:r>
      <w:r w:rsidR="003377BF">
        <w:rPr>
          <w:rFonts w:ascii="Alef" w:hAnsi="Alef" w:cs="Alef" w:hint="cs"/>
          <w:sz w:val="24"/>
          <w:szCs w:val="24"/>
          <w:rtl/>
        </w:rPr>
        <w:t>3.12.2019</w:t>
      </w:r>
      <w:r w:rsidR="002B6D76" w:rsidRPr="00950BE5">
        <w:rPr>
          <w:rFonts w:ascii="Alef" w:hAnsi="Alef" w:cs="Alef"/>
          <w:sz w:val="24"/>
          <w:szCs w:val="24"/>
          <w:rtl/>
        </w:rPr>
        <w:t xml:space="preserve"> הושלמה בהצלחה מכירת </w:t>
      </w:r>
      <w:r w:rsidR="00917C01" w:rsidRPr="00950BE5">
        <w:rPr>
          <w:rFonts w:ascii="Alef" w:hAnsi="Alef" w:cs="Alef" w:hint="cs"/>
          <w:sz w:val="24"/>
          <w:szCs w:val="24"/>
          <w:rtl/>
        </w:rPr>
        <w:t>אתר הייצור הראשון</w:t>
      </w:r>
      <w:r w:rsidR="002B6D76" w:rsidRPr="00950BE5">
        <w:rPr>
          <w:rFonts w:ascii="Alef" w:hAnsi="Alef" w:cs="Alef"/>
          <w:sz w:val="24"/>
          <w:szCs w:val="24"/>
          <w:rtl/>
        </w:rPr>
        <w:t xml:space="preserve"> ב</w:t>
      </w:r>
      <w:r w:rsidR="002B6D76" w:rsidRPr="00950BE5">
        <w:rPr>
          <w:rFonts w:ascii="Alef" w:hAnsi="Alef" w:cs="Alef" w:hint="cs"/>
          <w:sz w:val="24"/>
          <w:szCs w:val="24"/>
          <w:rtl/>
        </w:rPr>
        <w:t>"</w:t>
      </w:r>
      <w:r w:rsidR="002B6D76" w:rsidRPr="00950BE5">
        <w:rPr>
          <w:rFonts w:ascii="Alef" w:hAnsi="Alef" w:cs="Alef"/>
          <w:sz w:val="24"/>
          <w:szCs w:val="24"/>
          <w:rtl/>
        </w:rPr>
        <w:t>אלון תבור</w:t>
      </w:r>
      <w:r w:rsidR="002B6D76" w:rsidRPr="00950BE5">
        <w:rPr>
          <w:rFonts w:ascii="Alef" w:hAnsi="Alef" w:cs="Alef" w:hint="cs"/>
          <w:sz w:val="24"/>
          <w:szCs w:val="24"/>
          <w:rtl/>
        </w:rPr>
        <w:t xml:space="preserve">" (להלן </w:t>
      </w:r>
      <w:r w:rsidR="00917C01" w:rsidRPr="00950BE5">
        <w:rPr>
          <w:rFonts w:ascii="Alef" w:hAnsi="Alef" w:cs="Alef" w:hint="cs"/>
          <w:b/>
          <w:bCs/>
          <w:sz w:val="24"/>
          <w:szCs w:val="24"/>
          <w:rtl/>
        </w:rPr>
        <w:t>אתר</w:t>
      </w:r>
      <w:r w:rsidR="002B6D76" w:rsidRPr="00950BE5">
        <w:rPr>
          <w:rFonts w:ascii="Alef" w:hAnsi="Alef" w:cs="Alef" w:hint="cs"/>
          <w:b/>
          <w:bCs/>
          <w:sz w:val="24"/>
          <w:szCs w:val="24"/>
          <w:rtl/>
        </w:rPr>
        <w:t xml:space="preserve"> אלון תבור</w:t>
      </w:r>
      <w:r w:rsidR="002B6D76" w:rsidRPr="00950BE5">
        <w:rPr>
          <w:rFonts w:ascii="Alef" w:hAnsi="Alef" w:cs="Alef" w:hint="cs"/>
          <w:sz w:val="24"/>
          <w:szCs w:val="24"/>
          <w:rtl/>
        </w:rPr>
        <w:t xml:space="preserve">), </w:t>
      </w:r>
      <w:r w:rsidR="002B6D76" w:rsidRPr="00950BE5">
        <w:rPr>
          <w:rFonts w:ascii="Alef" w:hAnsi="Alef" w:cs="Alef"/>
          <w:sz w:val="24"/>
          <w:szCs w:val="24"/>
          <w:rtl/>
        </w:rPr>
        <w:t xml:space="preserve">על ידי </w:t>
      </w:r>
      <w:r w:rsidR="002B6D76" w:rsidRPr="00950BE5">
        <w:rPr>
          <w:rFonts w:ascii="Alef" w:hAnsi="Alef" w:cs="Alef" w:hint="cs"/>
          <w:sz w:val="24"/>
          <w:szCs w:val="24"/>
          <w:rtl/>
        </w:rPr>
        <w:t>חברת החשמל</w:t>
      </w:r>
      <w:r w:rsidR="002B6D76" w:rsidRPr="00950BE5">
        <w:rPr>
          <w:rFonts w:ascii="Alef" w:hAnsi="Alef" w:cs="Alef"/>
          <w:sz w:val="24"/>
          <w:szCs w:val="24"/>
          <w:rtl/>
        </w:rPr>
        <w:t>.</w:t>
      </w:r>
      <w:r w:rsidR="002B6D76" w:rsidRPr="00950BE5">
        <w:rPr>
          <w:rFonts w:ascii="Alef" w:hAnsi="Alef" w:cs="Alef"/>
          <w:sz w:val="24"/>
          <w:szCs w:val="24"/>
          <w:vertAlign w:val="superscript"/>
          <w:rtl/>
        </w:rPr>
        <w:footnoteReference w:id="5"/>
      </w:r>
      <w:r w:rsidR="002B6D76" w:rsidRPr="00950BE5">
        <w:rPr>
          <w:rFonts w:ascii="Alef" w:hAnsi="Alef" w:cs="Alef" w:hint="cs"/>
          <w:sz w:val="24"/>
          <w:szCs w:val="24"/>
          <w:rtl/>
        </w:rPr>
        <w:t xml:space="preserve"> כחלק מן הרפורמה במשק החשמל והשינוי המבני בחברת החשמל, בימים אלו מתקיים הליך תחרותי למכירת </w:t>
      </w:r>
      <w:r w:rsidR="00917C01" w:rsidRPr="00950BE5">
        <w:rPr>
          <w:rFonts w:ascii="Alef" w:hAnsi="Alef" w:cs="Alef" w:hint="cs"/>
          <w:sz w:val="24"/>
          <w:szCs w:val="24"/>
          <w:rtl/>
        </w:rPr>
        <w:t>אתר הייצור השני</w:t>
      </w:r>
      <w:r w:rsidR="002B6D76" w:rsidRPr="00950BE5">
        <w:rPr>
          <w:rFonts w:ascii="Alef" w:hAnsi="Alef" w:cs="Alef" w:hint="cs"/>
          <w:sz w:val="24"/>
          <w:szCs w:val="24"/>
          <w:rtl/>
        </w:rPr>
        <w:t xml:space="preserve">, "רמת חובב" (להלן </w:t>
      </w:r>
      <w:r w:rsidR="00917C01" w:rsidRPr="00950BE5">
        <w:rPr>
          <w:rFonts w:ascii="Alef" w:hAnsi="Alef" w:cs="Alef" w:hint="cs"/>
          <w:b/>
          <w:bCs/>
          <w:sz w:val="24"/>
          <w:szCs w:val="24"/>
          <w:rtl/>
        </w:rPr>
        <w:t>אתר</w:t>
      </w:r>
      <w:r w:rsidR="002B6D76" w:rsidRPr="00950BE5">
        <w:rPr>
          <w:rFonts w:ascii="Alef" w:hAnsi="Alef" w:cs="Alef" w:hint="cs"/>
          <w:b/>
          <w:bCs/>
          <w:sz w:val="24"/>
          <w:szCs w:val="24"/>
          <w:rtl/>
        </w:rPr>
        <w:t xml:space="preserve"> רמת חובב</w:t>
      </w:r>
      <w:r w:rsidR="002B6D76" w:rsidRPr="00950BE5">
        <w:rPr>
          <w:rFonts w:ascii="Alef" w:hAnsi="Alef" w:cs="Alef"/>
          <w:sz w:val="24"/>
          <w:szCs w:val="24"/>
          <w:rtl/>
        </w:rPr>
        <w:t>)</w:t>
      </w:r>
      <w:r w:rsidR="002B6D76" w:rsidRPr="00950BE5">
        <w:rPr>
          <w:rFonts w:ascii="Alef" w:hAnsi="Alef" w:cs="Alef" w:hint="cs"/>
          <w:sz w:val="24"/>
          <w:szCs w:val="24"/>
          <w:rtl/>
        </w:rPr>
        <w:t>.</w:t>
      </w:r>
      <w:r w:rsidR="002B6D76" w:rsidRPr="00950BE5">
        <w:rPr>
          <w:rFonts w:ascii="Alef" w:hAnsi="Alef" w:cs="Alef"/>
          <w:sz w:val="24"/>
          <w:szCs w:val="24"/>
          <w:vertAlign w:val="superscript"/>
          <w:rtl/>
        </w:rPr>
        <w:footnoteReference w:id="6"/>
      </w:r>
    </w:p>
    <w:p w14:paraId="55A7F1D7" w14:textId="77777777" w:rsidR="004C7C11" w:rsidRPr="00950BE5" w:rsidRDefault="004C7C11" w:rsidP="00950BE5">
      <w:pPr>
        <w:spacing w:after="240" w:line="276" w:lineRule="auto"/>
        <w:jc w:val="both"/>
        <w:rPr>
          <w:rFonts w:ascii="Alef" w:hAnsi="Alef" w:cs="Alef"/>
          <w:sz w:val="24"/>
          <w:szCs w:val="24"/>
          <w:rtl/>
        </w:rPr>
      </w:pPr>
      <w:r w:rsidRPr="00950BE5">
        <w:rPr>
          <w:rFonts w:ascii="Alef" w:hAnsi="Alef" w:cs="Alef"/>
          <w:sz w:val="24"/>
          <w:szCs w:val="24"/>
          <w:rtl/>
        </w:rPr>
        <w:lastRenderedPageBreak/>
        <w:t>לוח הזמנים למכירת אתרי הייצור</w:t>
      </w:r>
      <w:r w:rsidR="002B6D76" w:rsidRPr="00950BE5">
        <w:rPr>
          <w:rFonts w:ascii="Alef" w:hAnsi="Alef" w:cs="Alef" w:hint="cs"/>
          <w:sz w:val="24"/>
          <w:szCs w:val="24"/>
          <w:rtl/>
        </w:rPr>
        <w:t xml:space="preserve"> הנותרים</w:t>
      </w:r>
      <w:r w:rsidRPr="00950BE5">
        <w:rPr>
          <w:rFonts w:ascii="Alef" w:hAnsi="Alef" w:cs="Alef"/>
          <w:sz w:val="24"/>
          <w:szCs w:val="24"/>
          <w:rtl/>
        </w:rPr>
        <w:t xml:space="preserve"> של חברת החשמל הוא כדלקמן:</w:t>
      </w:r>
      <w:r w:rsidRPr="00950BE5">
        <w:rPr>
          <w:rStyle w:val="FootnoteReference"/>
          <w:rFonts w:ascii="Alef" w:hAnsi="Alef" w:cs="Alef"/>
          <w:sz w:val="24"/>
          <w:szCs w:val="24"/>
          <w:rtl/>
        </w:rPr>
        <w:footnoteReference w:id="7"/>
      </w:r>
      <w:r w:rsidRPr="00950BE5">
        <w:rPr>
          <w:rFonts w:ascii="Alef" w:hAnsi="Alef" w:cs="Alef"/>
          <w:sz w:val="24"/>
          <w:szCs w:val="24"/>
          <w:rtl/>
        </w:rPr>
        <w:t xml:space="preserve"> </w:t>
      </w:r>
    </w:p>
    <w:p w14:paraId="37DF7B96" w14:textId="77777777" w:rsidR="004C7C11" w:rsidRPr="00950BE5" w:rsidRDefault="004C7C11" w:rsidP="00950BE5">
      <w:pPr>
        <w:pStyle w:val="ListParagraph"/>
        <w:numPr>
          <w:ilvl w:val="0"/>
          <w:numId w:val="2"/>
        </w:numPr>
        <w:spacing w:after="240" w:line="276" w:lineRule="auto"/>
        <w:jc w:val="both"/>
        <w:rPr>
          <w:rFonts w:ascii="Alef" w:hAnsi="Alef" w:cs="Alef"/>
          <w:sz w:val="24"/>
          <w:szCs w:val="24"/>
        </w:rPr>
      </w:pPr>
      <w:r w:rsidRPr="00950BE5">
        <w:rPr>
          <w:rFonts w:ascii="Alef" w:hAnsi="Alef" w:cs="Alef"/>
          <w:sz w:val="24"/>
          <w:szCs w:val="24"/>
          <w:rtl/>
        </w:rPr>
        <w:t xml:space="preserve">רמת חובב - תוך תקופה של עד 30 חודשים מיום פרסום החלטת הממשלה (3.12.2020). </w:t>
      </w:r>
    </w:p>
    <w:p w14:paraId="139502E2" w14:textId="77777777" w:rsidR="004C7C11" w:rsidRPr="00950BE5" w:rsidRDefault="004C7C11" w:rsidP="00950BE5">
      <w:pPr>
        <w:pStyle w:val="ListParagraph"/>
        <w:numPr>
          <w:ilvl w:val="0"/>
          <w:numId w:val="2"/>
        </w:numPr>
        <w:spacing w:after="240" w:line="276" w:lineRule="auto"/>
        <w:jc w:val="both"/>
        <w:rPr>
          <w:rFonts w:ascii="Alef" w:hAnsi="Alef" w:cs="Alef"/>
          <w:sz w:val="24"/>
          <w:szCs w:val="24"/>
        </w:rPr>
      </w:pPr>
      <w:r w:rsidRPr="00950BE5">
        <w:rPr>
          <w:rFonts w:ascii="Alef" w:hAnsi="Alef" w:cs="Alef"/>
          <w:sz w:val="24"/>
          <w:szCs w:val="24"/>
          <w:rtl/>
        </w:rPr>
        <w:t xml:space="preserve">רידינג- תוך תקופה של עד 36 חודשים מיום פרסום החלטת הממשלה (3.6.2021). </w:t>
      </w:r>
    </w:p>
    <w:p w14:paraId="569C6653" w14:textId="77777777" w:rsidR="004C7C11" w:rsidRPr="00950BE5" w:rsidRDefault="004C7C11" w:rsidP="00950BE5">
      <w:pPr>
        <w:pStyle w:val="ListParagraph"/>
        <w:numPr>
          <w:ilvl w:val="0"/>
          <w:numId w:val="2"/>
        </w:numPr>
        <w:spacing w:after="240" w:line="276" w:lineRule="auto"/>
        <w:jc w:val="both"/>
        <w:rPr>
          <w:rFonts w:ascii="Alef" w:hAnsi="Alef" w:cs="Alef"/>
          <w:sz w:val="24"/>
          <w:szCs w:val="24"/>
          <w:rtl/>
        </w:rPr>
      </w:pPr>
      <w:r w:rsidRPr="00950BE5">
        <w:rPr>
          <w:rFonts w:ascii="Alef" w:hAnsi="Alef" w:cs="Alef"/>
          <w:sz w:val="24"/>
          <w:szCs w:val="24"/>
          <w:rtl/>
        </w:rPr>
        <w:t xml:space="preserve">חלק מאתר חגית- תוך תקופה של עד 48 חודשים מיום פרסום החלטת הממשלה (3.6.2022). </w:t>
      </w:r>
    </w:p>
    <w:p w14:paraId="490E7045" w14:textId="77777777" w:rsidR="004C7C11" w:rsidRPr="00950BE5" w:rsidRDefault="004C7C11" w:rsidP="00950BE5">
      <w:pPr>
        <w:pStyle w:val="ListParagraph"/>
        <w:numPr>
          <w:ilvl w:val="0"/>
          <w:numId w:val="2"/>
        </w:numPr>
        <w:spacing w:after="240" w:line="276" w:lineRule="auto"/>
        <w:jc w:val="both"/>
        <w:rPr>
          <w:rFonts w:ascii="Alef" w:hAnsi="Alef" w:cs="Alef"/>
          <w:sz w:val="24"/>
          <w:szCs w:val="24"/>
        </w:rPr>
      </w:pPr>
      <w:r w:rsidRPr="00950BE5">
        <w:rPr>
          <w:rFonts w:ascii="Alef" w:hAnsi="Alef" w:cs="Alef"/>
          <w:sz w:val="24"/>
          <w:szCs w:val="24"/>
          <w:rtl/>
        </w:rPr>
        <w:t>אשכול- תוך תקופה של עד 60 חודשים מיום פרסום החלטת הממשלה (3.6.2023).</w:t>
      </w:r>
      <w:r w:rsidRPr="00950BE5" w:rsidDel="0000016E">
        <w:rPr>
          <w:rStyle w:val="FootnoteReference"/>
          <w:rFonts w:ascii="Alef" w:hAnsi="Alef" w:cs="Alef"/>
          <w:sz w:val="24"/>
          <w:szCs w:val="24"/>
        </w:rPr>
        <w:t xml:space="preserve"> </w:t>
      </w:r>
    </w:p>
    <w:p w14:paraId="49F5D30B" w14:textId="2A2E59FB" w:rsidR="004C7C11" w:rsidRPr="00950BE5" w:rsidRDefault="004C7C11" w:rsidP="00053D0A">
      <w:pPr>
        <w:spacing w:after="240" w:line="276" w:lineRule="auto"/>
        <w:jc w:val="both"/>
        <w:rPr>
          <w:rFonts w:ascii="Alef" w:hAnsi="Alef" w:cs="Alef"/>
          <w:sz w:val="24"/>
          <w:szCs w:val="24"/>
          <w:rtl/>
        </w:rPr>
      </w:pPr>
      <w:r w:rsidRPr="00950BE5">
        <w:rPr>
          <w:rFonts w:ascii="Alef" w:hAnsi="Alef" w:cs="Alef"/>
          <w:sz w:val="24"/>
          <w:szCs w:val="24"/>
          <w:rtl/>
        </w:rPr>
        <w:t xml:space="preserve">סך ההספק המותקן של אתרי הייצור שיימכרו ע"י חברת החשמל נכון ליום </w:t>
      </w:r>
      <w:r w:rsidR="00053D0A">
        <w:rPr>
          <w:rFonts w:ascii="Alef" w:hAnsi="Alef" w:cs="Alef" w:hint="cs"/>
          <w:sz w:val="24"/>
          <w:szCs w:val="24"/>
          <w:rtl/>
        </w:rPr>
        <w:t>31.12.2017</w:t>
      </w:r>
      <w:r w:rsidRPr="00950BE5">
        <w:rPr>
          <w:rFonts w:ascii="Alef" w:hAnsi="Alef" w:cs="Alef"/>
          <w:sz w:val="24"/>
          <w:szCs w:val="24"/>
          <w:rtl/>
        </w:rPr>
        <w:t xml:space="preserve">, הינו כ-4,500 מגוואט. </w:t>
      </w:r>
    </w:p>
    <w:p w14:paraId="76AE2DE0" w14:textId="1F3D36D5" w:rsidR="004C7C11" w:rsidRPr="00950BE5" w:rsidRDefault="004C7C11" w:rsidP="00CC732E">
      <w:pPr>
        <w:spacing w:after="240" w:line="276" w:lineRule="auto"/>
        <w:jc w:val="both"/>
        <w:rPr>
          <w:rFonts w:ascii="Alef" w:hAnsi="Alef" w:cs="Alef"/>
          <w:sz w:val="24"/>
          <w:szCs w:val="24"/>
          <w:rtl/>
        </w:rPr>
      </w:pPr>
      <w:r w:rsidRPr="00950BE5">
        <w:rPr>
          <w:rFonts w:ascii="Alef" w:hAnsi="Alef" w:cs="Alef"/>
          <w:sz w:val="24"/>
          <w:szCs w:val="24"/>
          <w:rtl/>
        </w:rPr>
        <w:t>על פי החלטת הממשלה, חברת החשמל תמכור את אתרי הייצור באמצעות הליך תחרותי</w:t>
      </w:r>
      <w:r w:rsidR="00A0169D" w:rsidRPr="00950BE5">
        <w:rPr>
          <w:rFonts w:ascii="Alef" w:hAnsi="Alef" w:cs="Alef" w:hint="cs"/>
          <w:sz w:val="24"/>
          <w:szCs w:val="24"/>
          <w:rtl/>
        </w:rPr>
        <w:t>, כאשר אופן פעילותם של אתרי היצור יתבסס על אסדרה</w:t>
      </w:r>
      <w:r w:rsidR="007F0CCB" w:rsidRPr="00950BE5">
        <w:rPr>
          <w:rFonts w:ascii="Alef" w:hAnsi="Alef" w:cs="Alef" w:hint="cs"/>
          <w:sz w:val="24"/>
          <w:szCs w:val="24"/>
          <w:rtl/>
        </w:rPr>
        <w:t xml:space="preserve"> שתיקבע על ידי</w:t>
      </w:r>
      <w:r w:rsidR="00A0169D" w:rsidRPr="00950BE5">
        <w:rPr>
          <w:rFonts w:ascii="Alef" w:hAnsi="Alef" w:cs="Alef" w:hint="cs"/>
          <w:sz w:val="24"/>
          <w:szCs w:val="24"/>
          <w:rtl/>
        </w:rPr>
        <w:t xml:space="preserve"> רשות החשמל</w:t>
      </w:r>
      <w:r w:rsidRPr="00950BE5">
        <w:rPr>
          <w:rFonts w:ascii="Alef" w:hAnsi="Alef" w:cs="Alef"/>
          <w:sz w:val="24"/>
          <w:szCs w:val="24"/>
          <w:rtl/>
        </w:rPr>
        <w:t xml:space="preserve"> </w:t>
      </w:r>
      <w:r w:rsidR="007F0CCB" w:rsidRPr="00950BE5">
        <w:rPr>
          <w:rFonts w:ascii="Alef" w:hAnsi="Alef" w:cs="Alef" w:hint="cs"/>
          <w:sz w:val="24"/>
          <w:szCs w:val="24"/>
          <w:rtl/>
        </w:rPr>
        <w:t xml:space="preserve"> </w:t>
      </w:r>
      <w:r w:rsidR="006F72B4" w:rsidRPr="00950BE5">
        <w:rPr>
          <w:rFonts w:ascii="Alef" w:hAnsi="Alef" w:cs="Alef" w:hint="cs"/>
          <w:sz w:val="24"/>
          <w:szCs w:val="24"/>
          <w:rtl/>
        </w:rPr>
        <w:t>(</w:t>
      </w:r>
      <w:r w:rsidRPr="00950BE5">
        <w:rPr>
          <w:rFonts w:ascii="Alef" w:hAnsi="Alef" w:cs="Alef"/>
          <w:sz w:val="24"/>
          <w:szCs w:val="24"/>
          <w:rtl/>
        </w:rPr>
        <w:t xml:space="preserve">להלן </w:t>
      </w:r>
      <w:proofErr w:type="spellStart"/>
      <w:r w:rsidRPr="00950BE5">
        <w:rPr>
          <w:rFonts w:ascii="Alef" w:hAnsi="Alef" w:cs="Alef"/>
          <w:b/>
          <w:bCs/>
          <w:sz w:val="24"/>
          <w:szCs w:val="24"/>
          <w:rtl/>
        </w:rPr>
        <w:t>אסדרת</w:t>
      </w:r>
      <w:proofErr w:type="spellEnd"/>
      <w:r w:rsidRPr="00950BE5">
        <w:rPr>
          <w:rFonts w:ascii="Alef" w:hAnsi="Alef" w:cs="Alef"/>
          <w:b/>
          <w:bCs/>
          <w:sz w:val="24"/>
          <w:szCs w:val="24"/>
          <w:rtl/>
        </w:rPr>
        <w:t xml:space="preserve"> </w:t>
      </w:r>
      <w:r w:rsidR="00A0169D" w:rsidRPr="00950BE5">
        <w:rPr>
          <w:rFonts w:ascii="Alef" w:hAnsi="Alef" w:cs="Alef" w:hint="cs"/>
          <w:b/>
          <w:bCs/>
          <w:sz w:val="24"/>
          <w:szCs w:val="24"/>
          <w:rtl/>
        </w:rPr>
        <w:t>רשות החשמל</w:t>
      </w:r>
      <w:r w:rsidRPr="00950BE5">
        <w:rPr>
          <w:rFonts w:ascii="Alef" w:hAnsi="Alef" w:cs="Alef"/>
          <w:sz w:val="24"/>
          <w:szCs w:val="24"/>
          <w:rtl/>
        </w:rPr>
        <w:t>)</w:t>
      </w:r>
      <w:r w:rsidRPr="00950BE5">
        <w:rPr>
          <w:rStyle w:val="FootnoteReference"/>
          <w:rFonts w:ascii="Alef" w:hAnsi="Alef" w:cs="Alef"/>
          <w:sz w:val="24"/>
          <w:szCs w:val="24"/>
          <w:rtl/>
        </w:rPr>
        <w:footnoteReference w:id="8"/>
      </w:r>
      <w:r w:rsidRPr="00950BE5">
        <w:rPr>
          <w:rFonts w:ascii="Alef" w:hAnsi="Alef" w:cs="Alef"/>
          <w:sz w:val="24"/>
          <w:szCs w:val="24"/>
          <w:rtl/>
        </w:rPr>
        <w:t xml:space="preserve"> כפי שיפורט בהרחבה בסעיף 3 להלן. </w:t>
      </w:r>
    </w:p>
    <w:p w14:paraId="1322E543" w14:textId="77777777" w:rsidR="004C7C11" w:rsidRPr="00950BE5" w:rsidRDefault="004C7C11" w:rsidP="00950BE5">
      <w:pPr>
        <w:pStyle w:val="Heading1"/>
        <w:spacing w:line="276" w:lineRule="auto"/>
        <w:rPr>
          <w:rFonts w:ascii="Alef" w:hAnsi="Alef" w:cs="Alef"/>
          <w:rtl/>
        </w:rPr>
      </w:pPr>
      <w:r w:rsidRPr="00950BE5">
        <w:rPr>
          <w:rFonts w:ascii="Alef" w:hAnsi="Alef" w:cs="Alef"/>
          <w:rtl/>
        </w:rPr>
        <w:t>האסדרה העתידית</w:t>
      </w:r>
    </w:p>
    <w:p w14:paraId="3CC1EA9F" w14:textId="4F3EABA7" w:rsidR="004C7C11" w:rsidRPr="00950BE5" w:rsidRDefault="007F0CCB" w:rsidP="00053D0A">
      <w:pPr>
        <w:spacing w:after="240" w:line="276" w:lineRule="auto"/>
        <w:jc w:val="both"/>
        <w:rPr>
          <w:rFonts w:ascii="Alef" w:hAnsi="Alef" w:cs="Alef"/>
          <w:sz w:val="24"/>
          <w:szCs w:val="24"/>
          <w:rtl/>
        </w:rPr>
      </w:pPr>
      <w:r w:rsidRPr="00950BE5">
        <w:rPr>
          <w:rFonts w:ascii="Alef" w:hAnsi="Alef" w:cs="Alef" w:hint="cs"/>
          <w:sz w:val="24"/>
          <w:szCs w:val="24"/>
          <w:rtl/>
        </w:rPr>
        <w:t xml:space="preserve">בהתאם לעקרונות </w:t>
      </w:r>
      <w:proofErr w:type="spellStart"/>
      <w:r w:rsidRPr="00950BE5">
        <w:rPr>
          <w:rFonts w:ascii="Alef" w:hAnsi="Alef" w:cs="Alef" w:hint="cs"/>
          <w:sz w:val="24"/>
          <w:szCs w:val="24"/>
          <w:rtl/>
        </w:rPr>
        <w:t>אסדרת</w:t>
      </w:r>
      <w:proofErr w:type="spellEnd"/>
      <w:r w:rsidRPr="00950BE5">
        <w:rPr>
          <w:rFonts w:ascii="Alef" w:hAnsi="Alef" w:cs="Alef" w:hint="cs"/>
          <w:sz w:val="24"/>
          <w:szCs w:val="24"/>
          <w:rtl/>
        </w:rPr>
        <w:t xml:space="preserve"> רשות החשמל,</w:t>
      </w:r>
      <w:r w:rsidR="004C7C11" w:rsidRPr="00950BE5">
        <w:rPr>
          <w:rFonts w:ascii="Alef" w:hAnsi="Alef" w:cs="Alef"/>
          <w:sz w:val="24"/>
          <w:szCs w:val="24"/>
          <w:rtl/>
        </w:rPr>
        <w:t xml:space="preserve"> הזוכה בהליך התחרותי יידרש להציע הצעות מחיר לייצור אנרגיה למנהל המערכת. הצעות המחיר יוגבלו בתקרה שתקבע רשות החשמל לכל אחד מהמתקנים. מנהל המערכת ייקבע את תכנית ההעמסה של כל מתקן בהתאם להצעות המחיר שהציע היצרן ובהתאם לפרמטרים נוספים. מתקן שהועמס על ידי מנהל המערכת יהיה זכאי לתשלום בגובה העלות השולית החצי שעתית</w:t>
      </w:r>
      <w:r w:rsidR="003377BF">
        <w:rPr>
          <w:rFonts w:ascii="Alef" w:hAnsi="Alef" w:cs="Alef" w:hint="cs"/>
          <w:sz w:val="24"/>
          <w:szCs w:val="24"/>
          <w:rtl/>
        </w:rPr>
        <w:t xml:space="preserve"> שהציע</w:t>
      </w:r>
      <w:r w:rsidR="004C7C11" w:rsidRPr="00950BE5">
        <w:rPr>
          <w:rFonts w:ascii="Alef" w:hAnsi="Alef" w:cs="Alef"/>
          <w:sz w:val="24"/>
          <w:szCs w:val="24"/>
          <w:rtl/>
        </w:rPr>
        <w:t xml:space="preserve"> (להלן: "</w:t>
      </w:r>
      <w:r w:rsidR="004C7C11" w:rsidRPr="00950BE5">
        <w:rPr>
          <w:rFonts w:ascii="Alef" w:hAnsi="Alef" w:cs="Alef"/>
          <w:b/>
          <w:bCs/>
          <w:sz w:val="24"/>
          <w:szCs w:val="24"/>
        </w:rPr>
        <w:t>SMP</w:t>
      </w:r>
      <w:r w:rsidR="004C7C11" w:rsidRPr="00950BE5">
        <w:rPr>
          <w:rFonts w:ascii="Alef" w:hAnsi="Alef" w:cs="Alef"/>
          <w:sz w:val="24"/>
          <w:szCs w:val="24"/>
          <w:rtl/>
        </w:rPr>
        <w:t>"),</w:t>
      </w:r>
      <w:r w:rsidR="004C7C11" w:rsidRPr="00950BE5">
        <w:rPr>
          <w:rStyle w:val="FootnoteReference"/>
          <w:rFonts w:ascii="Alef" w:hAnsi="Alef" w:cs="Alef"/>
          <w:sz w:val="24"/>
          <w:szCs w:val="24"/>
          <w:rtl/>
        </w:rPr>
        <w:footnoteReference w:id="9"/>
      </w:r>
      <w:r w:rsidR="004C7C11" w:rsidRPr="00950BE5">
        <w:rPr>
          <w:rFonts w:ascii="Alef" w:hAnsi="Alef" w:cs="Alef"/>
          <w:sz w:val="24"/>
          <w:szCs w:val="24"/>
          <w:rtl/>
        </w:rPr>
        <w:t xml:space="preserve"> ובלבד שהתשלום אינו עולה על תקרת המחיר שנקבעה למתקן. </w:t>
      </w:r>
    </w:p>
    <w:p w14:paraId="7652A0D6" w14:textId="77777777" w:rsidR="004C7C11" w:rsidRPr="00950BE5" w:rsidRDefault="004C7C11" w:rsidP="00950BE5">
      <w:pPr>
        <w:spacing w:after="240" w:line="276" w:lineRule="auto"/>
        <w:jc w:val="both"/>
        <w:rPr>
          <w:rFonts w:ascii="Alef" w:hAnsi="Alef" w:cs="Alef"/>
          <w:sz w:val="24"/>
          <w:szCs w:val="24"/>
          <w:rtl/>
        </w:rPr>
      </w:pPr>
      <w:r w:rsidRPr="00950BE5">
        <w:rPr>
          <w:rFonts w:ascii="Alef" w:hAnsi="Alef" w:cs="Alef"/>
          <w:sz w:val="24"/>
          <w:szCs w:val="24"/>
          <w:rtl/>
        </w:rPr>
        <w:t xml:space="preserve">בנוסף לתשלום זה, רשות החשמל מתכוונת לקבוע אורך חיים הנדסי נורמטיבי ליחידות באתר ותשלומי זמינות לכל קילוואט זמין. תשלומי הזמינות ישולמו לזוכה בגין כל </w:t>
      </w:r>
      <w:proofErr w:type="spellStart"/>
      <w:r w:rsidRPr="00950BE5">
        <w:rPr>
          <w:rFonts w:ascii="Alef" w:hAnsi="Alef" w:cs="Alef"/>
          <w:sz w:val="24"/>
          <w:szCs w:val="24"/>
          <w:rtl/>
        </w:rPr>
        <w:t>קילווואט</w:t>
      </w:r>
      <w:proofErr w:type="spellEnd"/>
      <w:r w:rsidRPr="00950BE5">
        <w:rPr>
          <w:rFonts w:ascii="Alef" w:hAnsi="Alef" w:cs="Alef"/>
          <w:sz w:val="24"/>
          <w:szCs w:val="24"/>
          <w:rtl/>
        </w:rPr>
        <w:t xml:space="preserve"> זמין בכל שעות </w:t>
      </w:r>
      <w:r w:rsidRPr="00950BE5">
        <w:rPr>
          <w:rFonts w:ascii="Alef" w:hAnsi="Alef" w:cs="Alef"/>
          <w:sz w:val="24"/>
          <w:szCs w:val="24"/>
          <w:rtl/>
        </w:rPr>
        <w:lastRenderedPageBreak/>
        <w:t xml:space="preserve">השנה, בהתאם לזמינות בפועל בכל שעה, למשך כל אורך החיים הנורמטיבי שנקבע ליחידה. </w:t>
      </w:r>
    </w:p>
    <w:p w14:paraId="5AF13218" w14:textId="1C1CD293" w:rsidR="004C7C11" w:rsidRPr="00950BE5" w:rsidRDefault="004C7C11" w:rsidP="005A456C">
      <w:pPr>
        <w:spacing w:after="240" w:line="276" w:lineRule="auto"/>
        <w:jc w:val="both"/>
        <w:rPr>
          <w:rFonts w:ascii="Alef" w:hAnsi="Alef" w:cs="Alef"/>
          <w:sz w:val="24"/>
          <w:szCs w:val="24"/>
          <w:rtl/>
        </w:rPr>
      </w:pPr>
      <w:r w:rsidRPr="00950BE5">
        <w:rPr>
          <w:rFonts w:ascii="Alef" w:hAnsi="Alef" w:cs="Alef"/>
          <w:sz w:val="24"/>
          <w:szCs w:val="24"/>
          <w:rtl/>
        </w:rPr>
        <w:t xml:space="preserve">בשנים הבאות עתידה רשות החשמל להקצות רישיונות נוספים לייצור חשמל בטכנולוגיות קונבנציונליות </w:t>
      </w:r>
      <w:proofErr w:type="spellStart"/>
      <w:r w:rsidRPr="00950BE5">
        <w:rPr>
          <w:rFonts w:ascii="Alef" w:hAnsi="Alef" w:cs="Alef"/>
          <w:sz w:val="24"/>
          <w:szCs w:val="24"/>
          <w:rtl/>
        </w:rPr>
        <w:t>ובקוגנרציה</w:t>
      </w:r>
      <w:proofErr w:type="spellEnd"/>
      <w:r w:rsidRPr="00950BE5">
        <w:rPr>
          <w:rFonts w:ascii="Alef" w:hAnsi="Alef" w:cs="Alef"/>
          <w:sz w:val="24"/>
          <w:szCs w:val="24"/>
          <w:rtl/>
        </w:rPr>
        <w:t>, חלקם כתוצאה ממכירת אתרי הייצור של חברת החשמל – אתרי הייצור הנמכרים; וחלקם יוקצו לאתרי ייצור חדשים שמתוכננים על ידי המדינה או שמקודמים על ידי יזמים פרטיים (להלן</w:t>
      </w:r>
      <w:r w:rsidR="00AD4391">
        <w:rPr>
          <w:rFonts w:ascii="Alef" w:hAnsi="Alef" w:cs="Alef" w:hint="cs"/>
          <w:sz w:val="24"/>
          <w:szCs w:val="24"/>
          <w:rtl/>
        </w:rPr>
        <w:t xml:space="preserve"> </w:t>
      </w:r>
      <w:r w:rsidRPr="00950BE5">
        <w:rPr>
          <w:rFonts w:ascii="Alef" w:hAnsi="Alef" w:cs="Alef"/>
          <w:b/>
          <w:bCs/>
          <w:sz w:val="24"/>
          <w:szCs w:val="24"/>
          <w:rtl/>
        </w:rPr>
        <w:t>אתרי הייצור החדשים</w:t>
      </w:r>
      <w:r w:rsidRPr="00950BE5">
        <w:rPr>
          <w:rFonts w:ascii="Alef" w:hAnsi="Alef" w:cs="Alef"/>
          <w:sz w:val="24"/>
          <w:szCs w:val="24"/>
          <w:rtl/>
        </w:rPr>
        <w:t>).</w:t>
      </w:r>
      <w:r w:rsidR="007F0CCB" w:rsidRPr="00950BE5">
        <w:rPr>
          <w:rFonts w:ascii="Alef" w:hAnsi="Alef" w:cs="Alef" w:hint="cs"/>
          <w:sz w:val="24"/>
          <w:szCs w:val="24"/>
          <w:rtl/>
        </w:rPr>
        <w:t xml:space="preserve"> </w:t>
      </w:r>
      <w:r w:rsidR="007F0CCB" w:rsidRPr="00950BE5">
        <w:rPr>
          <w:rFonts w:ascii="Alef" w:hAnsi="Alef" w:cs="Alef"/>
          <w:sz w:val="24"/>
          <w:szCs w:val="24"/>
          <w:rtl/>
        </w:rPr>
        <w:t xml:space="preserve">לאור העובדה שטרם פורסמה אסדרה ביחס לכל אתרי הייצור הנמכרים והחדשים, מסמך זה יוצא מנקודת הנחה </w:t>
      </w:r>
      <w:proofErr w:type="spellStart"/>
      <w:r w:rsidR="007F0CCB" w:rsidRPr="00950BE5">
        <w:rPr>
          <w:rFonts w:ascii="Alef" w:hAnsi="Alef" w:cs="Alef"/>
          <w:sz w:val="24"/>
          <w:szCs w:val="24"/>
          <w:rtl/>
        </w:rPr>
        <w:t>שהאסדרות</w:t>
      </w:r>
      <w:proofErr w:type="spellEnd"/>
      <w:r w:rsidR="007F0CCB" w:rsidRPr="00950BE5">
        <w:rPr>
          <w:rFonts w:ascii="Alef" w:hAnsi="Alef" w:cs="Alef"/>
          <w:sz w:val="24"/>
          <w:szCs w:val="24"/>
          <w:rtl/>
        </w:rPr>
        <w:t xml:space="preserve"> שיחולו על אתרי ייצור אלו יהיו בעל</w:t>
      </w:r>
      <w:r w:rsidR="001F4ACF">
        <w:rPr>
          <w:rFonts w:ascii="Alef" w:hAnsi="Alef" w:cs="Alef" w:hint="cs"/>
          <w:sz w:val="24"/>
          <w:szCs w:val="24"/>
          <w:rtl/>
        </w:rPr>
        <w:t>ות</w:t>
      </w:r>
      <w:r w:rsidR="00AC1963">
        <w:rPr>
          <w:rFonts w:ascii="Alef" w:hAnsi="Alef" w:cs="Alef" w:hint="cs"/>
          <w:sz w:val="24"/>
          <w:szCs w:val="24"/>
          <w:rtl/>
        </w:rPr>
        <w:t xml:space="preserve"> </w:t>
      </w:r>
      <w:r w:rsidR="007F0CCB" w:rsidRPr="00950BE5">
        <w:rPr>
          <w:rFonts w:ascii="Alef" w:hAnsi="Alef" w:cs="Alef"/>
          <w:sz w:val="24"/>
          <w:szCs w:val="24"/>
          <w:rtl/>
        </w:rPr>
        <w:t xml:space="preserve">עקרונות דומים </w:t>
      </w:r>
      <w:proofErr w:type="spellStart"/>
      <w:r w:rsidR="007F0CCB" w:rsidRPr="00950BE5">
        <w:rPr>
          <w:rFonts w:ascii="Alef" w:hAnsi="Alef" w:cs="Alef"/>
          <w:sz w:val="24"/>
          <w:szCs w:val="24"/>
          <w:rtl/>
        </w:rPr>
        <w:t>לאסדר</w:t>
      </w:r>
      <w:r w:rsidR="007F0CCB" w:rsidRPr="00950BE5">
        <w:rPr>
          <w:rFonts w:ascii="Alef" w:hAnsi="Alef" w:cs="Alef" w:hint="cs"/>
          <w:sz w:val="24"/>
          <w:szCs w:val="24"/>
          <w:rtl/>
        </w:rPr>
        <w:t>ת</w:t>
      </w:r>
      <w:proofErr w:type="spellEnd"/>
      <w:r w:rsidR="007F0CCB" w:rsidRPr="00950BE5">
        <w:rPr>
          <w:rFonts w:ascii="Alef" w:hAnsi="Alef" w:cs="Alef"/>
          <w:sz w:val="24"/>
          <w:szCs w:val="24"/>
          <w:rtl/>
        </w:rPr>
        <w:t xml:space="preserve"> </w:t>
      </w:r>
      <w:r w:rsidR="00761107" w:rsidRPr="00950BE5">
        <w:rPr>
          <w:rFonts w:ascii="Alef" w:hAnsi="Alef" w:cs="Alef" w:hint="cs"/>
          <w:sz w:val="24"/>
          <w:szCs w:val="24"/>
          <w:rtl/>
        </w:rPr>
        <w:t>רשות החשמל</w:t>
      </w:r>
      <w:r w:rsidR="007F0CCB" w:rsidRPr="00950BE5">
        <w:rPr>
          <w:rFonts w:ascii="Alef" w:hAnsi="Alef" w:cs="Alef"/>
          <w:sz w:val="24"/>
          <w:szCs w:val="24"/>
          <w:rtl/>
        </w:rPr>
        <w:t>.</w:t>
      </w:r>
      <w:r w:rsidR="007F0CCB" w:rsidRPr="00950BE5">
        <w:rPr>
          <w:rFonts w:ascii="Alef" w:hAnsi="Alef" w:cs="Alef" w:hint="cs"/>
          <w:sz w:val="24"/>
          <w:szCs w:val="24"/>
          <w:rtl/>
        </w:rPr>
        <w:t xml:space="preserve"> </w:t>
      </w:r>
      <w:r w:rsidR="007F0CCB" w:rsidRPr="00950BE5" w:rsidDel="007A269A">
        <w:rPr>
          <w:rFonts w:ascii="Alef" w:hAnsi="Alef" w:cs="Alef" w:hint="cs"/>
          <w:sz w:val="24"/>
          <w:szCs w:val="24"/>
          <w:rtl/>
        </w:rPr>
        <w:t>עם זאת,</w:t>
      </w:r>
      <w:r w:rsidR="007F0CCB" w:rsidRPr="00950BE5" w:rsidDel="007A269A">
        <w:rPr>
          <w:rFonts w:ascii="Alef" w:hAnsi="Alef" w:cs="Alef"/>
          <w:sz w:val="24"/>
          <w:szCs w:val="24"/>
          <w:rtl/>
        </w:rPr>
        <w:t xml:space="preserve"> </w:t>
      </w:r>
      <w:r w:rsidR="000D22D0" w:rsidRPr="00950BE5" w:rsidDel="007A269A">
        <w:rPr>
          <w:rFonts w:ascii="Alef" w:hAnsi="Alef" w:cs="Alef" w:hint="cs"/>
          <w:sz w:val="24"/>
          <w:szCs w:val="24"/>
          <w:rtl/>
        </w:rPr>
        <w:t xml:space="preserve">עקרונות </w:t>
      </w:r>
      <w:proofErr w:type="spellStart"/>
      <w:r w:rsidR="00505647">
        <w:rPr>
          <w:rFonts w:ascii="Alef" w:hAnsi="Alef" w:cs="Alef" w:hint="cs"/>
          <w:sz w:val="24"/>
          <w:szCs w:val="24"/>
          <w:rtl/>
        </w:rPr>
        <w:t>אסדרת</w:t>
      </w:r>
      <w:proofErr w:type="spellEnd"/>
      <w:r w:rsidR="00505647">
        <w:rPr>
          <w:rFonts w:ascii="Alef" w:hAnsi="Alef" w:cs="Alef" w:hint="cs"/>
          <w:sz w:val="24"/>
          <w:szCs w:val="24"/>
          <w:rtl/>
        </w:rPr>
        <w:t xml:space="preserve"> רשות החשמל</w:t>
      </w:r>
      <w:r w:rsidR="00505647" w:rsidRPr="00950BE5" w:rsidDel="007A269A">
        <w:rPr>
          <w:rFonts w:ascii="Alef" w:hAnsi="Alef" w:cs="Alef" w:hint="cs"/>
          <w:sz w:val="24"/>
          <w:szCs w:val="24"/>
          <w:rtl/>
        </w:rPr>
        <w:t xml:space="preserve"> </w:t>
      </w:r>
      <w:r w:rsidR="006F72B4" w:rsidRPr="00950BE5" w:rsidDel="007A269A">
        <w:rPr>
          <w:rFonts w:ascii="Alef" w:hAnsi="Alef" w:cs="Alef" w:hint="cs"/>
          <w:sz w:val="24"/>
          <w:szCs w:val="24"/>
          <w:rtl/>
        </w:rPr>
        <w:t>כ</w:t>
      </w:r>
      <w:r w:rsidR="000D22D0" w:rsidRPr="00950BE5" w:rsidDel="007A269A">
        <w:rPr>
          <w:rFonts w:ascii="Alef" w:hAnsi="Alef" w:cs="Alef" w:hint="cs"/>
          <w:sz w:val="24"/>
          <w:szCs w:val="24"/>
          <w:rtl/>
        </w:rPr>
        <w:t xml:space="preserve">פי שמתוארים לעיל </w:t>
      </w:r>
      <w:r w:rsidR="006F72B4" w:rsidRPr="00950BE5" w:rsidDel="007A269A">
        <w:rPr>
          <w:rFonts w:ascii="Alef" w:hAnsi="Alef" w:cs="Alef" w:hint="cs"/>
          <w:sz w:val="24"/>
          <w:szCs w:val="24"/>
          <w:rtl/>
        </w:rPr>
        <w:t>תקפים</w:t>
      </w:r>
      <w:r w:rsidR="000D22D0" w:rsidRPr="00950BE5" w:rsidDel="007A269A">
        <w:rPr>
          <w:rFonts w:ascii="Alef" w:hAnsi="Alef" w:cs="Alef" w:hint="cs"/>
          <w:sz w:val="24"/>
          <w:szCs w:val="24"/>
          <w:rtl/>
        </w:rPr>
        <w:t xml:space="preserve"> נכון להיום</w:t>
      </w:r>
      <w:r w:rsidR="007F0CCB" w:rsidRPr="00950BE5" w:rsidDel="007A269A">
        <w:rPr>
          <w:rFonts w:ascii="Alef" w:hAnsi="Alef" w:cs="Alef" w:hint="cs"/>
          <w:sz w:val="24"/>
          <w:szCs w:val="24"/>
          <w:rtl/>
        </w:rPr>
        <w:t xml:space="preserve"> ואין הכרח שכך יוותר המצב גם בעתיד. </w:t>
      </w:r>
      <w:r w:rsidRPr="00950BE5">
        <w:rPr>
          <w:rFonts w:ascii="Alef" w:hAnsi="Alef" w:cs="Alef"/>
          <w:sz w:val="24"/>
          <w:szCs w:val="24"/>
          <w:rtl/>
        </w:rPr>
        <w:t xml:space="preserve">לעמדת הרשות, יש לחתור לכך שהאסדרה של אתרי הייצור החדשים והנמכרים תהיה אחידה וידועה מראש, וזאת על מנת לאפשר הליך תחרותי שקוף ויעיל תוך יצירת וודאות מקסימלית בעבור כלל המתמודדים. </w:t>
      </w:r>
      <w:r w:rsidR="007F0CCB" w:rsidRPr="00950BE5">
        <w:rPr>
          <w:rFonts w:ascii="Alef" w:hAnsi="Alef" w:cs="Alef" w:hint="cs"/>
          <w:sz w:val="24"/>
          <w:szCs w:val="24"/>
          <w:rtl/>
        </w:rPr>
        <w:t xml:space="preserve"> </w:t>
      </w:r>
      <w:r w:rsidR="007A269A">
        <w:rPr>
          <w:rFonts w:ascii="Alef" w:hAnsi="Alef" w:cs="Alef" w:hint="cs"/>
          <w:sz w:val="24"/>
          <w:szCs w:val="24"/>
          <w:rtl/>
        </w:rPr>
        <w:t xml:space="preserve"> </w:t>
      </w:r>
    </w:p>
    <w:p w14:paraId="29322189" w14:textId="77777777" w:rsidR="004C7C11" w:rsidRPr="00950BE5" w:rsidRDefault="004C7C11" w:rsidP="00950BE5">
      <w:pPr>
        <w:spacing w:after="240" w:line="276" w:lineRule="auto"/>
        <w:jc w:val="both"/>
        <w:rPr>
          <w:rFonts w:ascii="Alef" w:hAnsi="Alef" w:cs="Alef"/>
          <w:sz w:val="24"/>
          <w:szCs w:val="24"/>
          <w:rtl/>
        </w:rPr>
      </w:pPr>
      <w:r w:rsidRPr="00950BE5">
        <w:rPr>
          <w:rFonts w:ascii="Alef" w:hAnsi="Alef" w:cs="Alef"/>
          <w:sz w:val="24"/>
          <w:szCs w:val="24"/>
          <w:rtl/>
        </w:rPr>
        <w:t xml:space="preserve">העקרונות וההמלצות שיוצגו במסמך זה תקפים לגבי היצרנים ואתרי הייצור שפועלים בטכנולוגיות קונבנציונלית </w:t>
      </w:r>
      <w:proofErr w:type="spellStart"/>
      <w:r w:rsidRPr="00950BE5">
        <w:rPr>
          <w:rFonts w:ascii="Alef" w:hAnsi="Alef" w:cs="Alef"/>
          <w:sz w:val="24"/>
          <w:szCs w:val="24"/>
          <w:rtl/>
        </w:rPr>
        <w:t>וקוגנרציה</w:t>
      </w:r>
      <w:proofErr w:type="spellEnd"/>
      <w:r w:rsidRPr="00950BE5">
        <w:rPr>
          <w:rFonts w:ascii="Alef" w:hAnsi="Alef" w:cs="Alef"/>
          <w:sz w:val="24"/>
          <w:szCs w:val="24"/>
          <w:rtl/>
        </w:rPr>
        <w:t xml:space="preserve"> בלבד.</w:t>
      </w:r>
      <w:r w:rsidRPr="00950BE5">
        <w:rPr>
          <w:rStyle w:val="FootnoteReference"/>
          <w:rFonts w:ascii="Alef" w:hAnsi="Alef" w:cs="Alef"/>
          <w:sz w:val="24"/>
          <w:szCs w:val="24"/>
          <w:rtl/>
        </w:rPr>
        <w:footnoteReference w:id="10"/>
      </w:r>
      <w:r w:rsidRPr="00950BE5">
        <w:rPr>
          <w:rFonts w:ascii="Alef" w:hAnsi="Alef" w:cs="Alef"/>
          <w:sz w:val="24"/>
          <w:szCs w:val="24"/>
          <w:rtl/>
        </w:rPr>
        <w:t xml:space="preserve"> בנוסף, חברת החשמל ואתרי הייצור שבבעלותה כפופים לכללים שונים מיצרני החשמל הפרטיים. לכן, לצרכי מסמך זה, בבואנו לבחון את גודל השוק וההשפעות עליו, ההספק שנמצא בידי חברת החשמל לא נלקח בחשבון. כלומר, בכל התייחסות לגודל השוק הכוונה היא ליכולת הייצור של כלל היצרנים בטכנולוגיות הקונבנציונליות </w:t>
      </w:r>
      <w:proofErr w:type="spellStart"/>
      <w:r w:rsidRPr="00950BE5">
        <w:rPr>
          <w:rFonts w:ascii="Alef" w:hAnsi="Alef" w:cs="Alef"/>
          <w:sz w:val="24"/>
          <w:szCs w:val="24"/>
          <w:rtl/>
        </w:rPr>
        <w:t>ובקוגנרציה</w:t>
      </w:r>
      <w:proofErr w:type="spellEnd"/>
      <w:r w:rsidRPr="00950BE5">
        <w:rPr>
          <w:rFonts w:ascii="Alef" w:hAnsi="Alef" w:cs="Alef"/>
          <w:sz w:val="24"/>
          <w:szCs w:val="24"/>
          <w:rtl/>
        </w:rPr>
        <w:t>, ללא ההספק שבידי חברת החשמל.</w:t>
      </w:r>
    </w:p>
    <w:p w14:paraId="033D4FA0" w14:textId="77777777" w:rsidR="004C7C11" w:rsidRPr="00950BE5" w:rsidRDefault="004C7C11" w:rsidP="00950BE5">
      <w:pPr>
        <w:pStyle w:val="Heading1"/>
        <w:spacing w:line="276" w:lineRule="auto"/>
        <w:rPr>
          <w:rFonts w:ascii="Alef" w:hAnsi="Alef" w:cs="Alef"/>
          <w:rtl/>
        </w:rPr>
      </w:pPr>
      <w:r w:rsidRPr="00950BE5">
        <w:rPr>
          <w:rFonts w:ascii="Alef" w:hAnsi="Alef" w:cs="Alef"/>
          <w:rtl/>
        </w:rPr>
        <w:t>שיקולים תחרותיים</w:t>
      </w:r>
    </w:p>
    <w:p w14:paraId="62247235" w14:textId="77777777" w:rsidR="004C7C11" w:rsidRPr="00950BE5" w:rsidRDefault="004C7C11" w:rsidP="00950BE5">
      <w:pPr>
        <w:spacing w:after="240" w:line="276" w:lineRule="auto"/>
        <w:jc w:val="both"/>
        <w:rPr>
          <w:rFonts w:ascii="Alef" w:hAnsi="Alef" w:cs="Alef"/>
          <w:sz w:val="24"/>
          <w:szCs w:val="24"/>
          <w:rtl/>
        </w:rPr>
      </w:pPr>
      <w:r w:rsidRPr="00950BE5">
        <w:rPr>
          <w:rFonts w:ascii="Alef" w:hAnsi="Alef" w:cs="Alef"/>
          <w:sz w:val="24"/>
          <w:szCs w:val="24"/>
          <w:rtl/>
        </w:rPr>
        <w:t xml:space="preserve">בבואה לייעץ בהליכים התחרותיים למכירת אתרי הייצור, בכוונת הרשות לאזן בין שיקולי תחרות על השוק, דהיינו, התחרות בין המציעים השונים בהליך המכירה עצמו; ובין תחרות בתוך השוק, כלומר, התחרות בין יצרני החשמל על מכירת החשמל למנהל המערכת או לצרכנים. מחד, ככל שיתאפשר למספר רב יותר של שחקנים להתמודד בהליך התחרותי, כך ההצעות צפויות להיות תחרותיות יותר. מאידך, התחרות על מכירת החשמל, קרי, התחרות בשוק, עלולה להיפגע אם אחד השחקנים יהפוך דומיננטי בשוק או אם ייווצר שוק שבו מספר </w:t>
      </w:r>
      <w:r w:rsidRPr="00950BE5">
        <w:rPr>
          <w:rFonts w:ascii="Alef" w:hAnsi="Alef" w:cs="Alef"/>
          <w:sz w:val="24"/>
          <w:szCs w:val="24"/>
          <w:rtl/>
        </w:rPr>
        <w:lastRenderedPageBreak/>
        <w:t>השחקנים מועט. השיקולים שיעמדו לנגד עיניה של הרשות מפורטים להלן.</w:t>
      </w:r>
    </w:p>
    <w:p w14:paraId="2B3E473B" w14:textId="77777777" w:rsidR="004C7C11" w:rsidRPr="00950BE5" w:rsidRDefault="004C7C11" w:rsidP="00950BE5">
      <w:pPr>
        <w:pStyle w:val="Heading2"/>
        <w:spacing w:line="276" w:lineRule="auto"/>
        <w:rPr>
          <w:rFonts w:ascii="Alef" w:hAnsi="Alef" w:cs="Alef"/>
          <w:rtl/>
        </w:rPr>
      </w:pPr>
      <w:r w:rsidRPr="00950BE5">
        <w:rPr>
          <w:rFonts w:ascii="Alef" w:hAnsi="Alef" w:cs="Alef"/>
          <w:rtl/>
        </w:rPr>
        <w:t>התחרות בהליך</w:t>
      </w:r>
    </w:p>
    <w:p w14:paraId="0F3F631A" w14:textId="341E1CA5" w:rsidR="004C7C11" w:rsidRPr="00950BE5" w:rsidRDefault="004C7C11" w:rsidP="00053D0A">
      <w:pPr>
        <w:spacing w:after="240" w:line="276" w:lineRule="auto"/>
        <w:jc w:val="both"/>
        <w:rPr>
          <w:rFonts w:ascii="Alef" w:hAnsi="Alef" w:cs="Alef"/>
          <w:sz w:val="24"/>
          <w:szCs w:val="24"/>
          <w:rtl/>
        </w:rPr>
      </w:pPr>
      <w:r w:rsidRPr="00950BE5">
        <w:rPr>
          <w:rFonts w:ascii="Alef" w:hAnsi="Alef" w:cs="Alef"/>
          <w:sz w:val="24"/>
          <w:szCs w:val="24"/>
          <w:rtl/>
        </w:rPr>
        <w:t xml:space="preserve">בהתאם להחלטת רשות החשמל מס' 1 (1253) מישיבה 542 מיום </w:t>
      </w:r>
      <w:r w:rsidR="00053D0A">
        <w:rPr>
          <w:rFonts w:ascii="Alef" w:hAnsi="Alef" w:cs="Alef" w:hint="cs"/>
          <w:sz w:val="24"/>
          <w:szCs w:val="24"/>
          <w:rtl/>
        </w:rPr>
        <w:t>15.5.2018</w:t>
      </w:r>
      <w:r w:rsidRPr="00950BE5">
        <w:rPr>
          <w:rFonts w:ascii="Alef" w:hAnsi="Alef" w:cs="Alef"/>
          <w:sz w:val="24"/>
          <w:szCs w:val="24"/>
          <w:rtl/>
        </w:rPr>
        <w:t xml:space="preserve"> וכפי שנקבע בהחלטת הממשלה (ראו סעיף 8), התמורה לחברת החשמל בעד מכירת האתרים תהיה בשווי הוגן</w:t>
      </w:r>
      <w:r w:rsidRPr="00950BE5">
        <w:rPr>
          <w:rFonts w:ascii="Alef" w:hAnsi="Alef" w:cs="Alef"/>
          <w:sz w:val="24"/>
          <w:szCs w:val="24"/>
        </w:rPr>
        <w:t>.</w:t>
      </w:r>
      <w:r w:rsidRPr="00950BE5">
        <w:rPr>
          <w:rFonts w:ascii="Alef" w:hAnsi="Alef" w:cs="Alef"/>
          <w:sz w:val="24"/>
          <w:szCs w:val="24"/>
          <w:rtl/>
        </w:rPr>
        <w:t xml:space="preserve"> כפי שפורט לעיל, הזוכה באתר יקבל תשלומים קבועים עבור זמינות המתקנים באתר וכן יקבל הכנסה בגין כל מכירה של חשמל כאשר המתקנים יועמסו לייצור. </w:t>
      </w:r>
    </w:p>
    <w:p w14:paraId="0DC9868F" w14:textId="77777777" w:rsidR="004C7C11" w:rsidRPr="00950BE5" w:rsidRDefault="004C7C11" w:rsidP="00950BE5">
      <w:pPr>
        <w:spacing w:after="240" w:line="276" w:lineRule="auto"/>
        <w:jc w:val="both"/>
        <w:rPr>
          <w:rFonts w:ascii="Alef" w:hAnsi="Alef" w:cs="Alef"/>
          <w:sz w:val="24"/>
          <w:szCs w:val="24"/>
          <w:rtl/>
        </w:rPr>
      </w:pPr>
      <w:r w:rsidRPr="00950BE5">
        <w:rPr>
          <w:rFonts w:ascii="Alef" w:hAnsi="Alef" w:cs="Alef"/>
          <w:sz w:val="24"/>
          <w:szCs w:val="24"/>
          <w:rtl/>
        </w:rPr>
        <w:t xml:space="preserve">רשות החשמל צפויה לקבוע מראש את תשלומי הזמינות שישולמו לזוכה באתר היצור, כאשר במסגרת ההליך התחרותי השחקנים יתחרו על המחיר שישלמו בעבור אתר היצור עצמו. כפי שארע במכרז למכירת </w:t>
      </w:r>
      <w:r w:rsidR="009E009C" w:rsidRPr="00950BE5">
        <w:rPr>
          <w:rFonts w:ascii="Alef" w:hAnsi="Alef" w:cs="Alef" w:hint="cs"/>
          <w:sz w:val="24"/>
          <w:szCs w:val="24"/>
          <w:rtl/>
        </w:rPr>
        <w:t>אתר</w:t>
      </w:r>
      <w:r w:rsidRPr="00950BE5">
        <w:rPr>
          <w:rFonts w:ascii="Alef" w:hAnsi="Alef" w:cs="Alef"/>
          <w:sz w:val="24"/>
          <w:szCs w:val="24"/>
          <w:rtl/>
        </w:rPr>
        <w:t xml:space="preserve"> אלון תבור, אם המחיר המוצע בעבור אתר היצור יהיה גבוה מהשווי ההוגן, הוא השווי </w:t>
      </w:r>
      <w:proofErr w:type="spellStart"/>
      <w:r w:rsidRPr="00950BE5">
        <w:rPr>
          <w:rFonts w:ascii="Alef" w:hAnsi="Alef" w:cs="Alef"/>
          <w:sz w:val="24"/>
          <w:szCs w:val="24"/>
          <w:rtl/>
        </w:rPr>
        <w:t>התעריפי</w:t>
      </w:r>
      <w:proofErr w:type="spellEnd"/>
      <w:r w:rsidRPr="00950BE5">
        <w:rPr>
          <w:rFonts w:ascii="Alef" w:hAnsi="Alef" w:cs="Alef"/>
          <w:sz w:val="24"/>
          <w:szCs w:val="24"/>
          <w:rtl/>
        </w:rPr>
        <w:t xml:space="preserve"> של האתר בתוספת ערך הקרקע, ההכנסות צפויות לשרת את משק החשמל, באופן אשר ייטיב עם הציבור. אם המחיר המוצע בעבור אתר הייצור יהיה נמוך מהשווי ההוגן, המדינה תצטרך להשלים את התשלום ולהעבירו לחברת החשמל, באופן שפורט בהחלטת הממשלה, על חשבון הציבור. לכן, ככל שיהיו יותר מתחרים, המחיר שיתקבל בעבור אתר היצור צפוי להיות גבוה יותר, כך שהתועלת לציבור תגדל.</w:t>
      </w:r>
    </w:p>
    <w:p w14:paraId="073BD293" w14:textId="77777777" w:rsidR="004C7C11" w:rsidRPr="00950BE5" w:rsidRDefault="004C7C11" w:rsidP="00950BE5">
      <w:pPr>
        <w:pStyle w:val="Heading2"/>
        <w:spacing w:line="276" w:lineRule="auto"/>
        <w:rPr>
          <w:rFonts w:ascii="Alef" w:hAnsi="Alef" w:cs="Alef"/>
          <w:rtl/>
        </w:rPr>
      </w:pPr>
      <w:r w:rsidRPr="00950BE5">
        <w:rPr>
          <w:rFonts w:ascii="Alef" w:hAnsi="Alef" w:cs="Alef"/>
          <w:rtl/>
        </w:rPr>
        <w:t>תחרות בייצור החשמל</w:t>
      </w:r>
    </w:p>
    <w:p w14:paraId="26CE41DE" w14:textId="26523A91" w:rsidR="004C7C11" w:rsidRPr="00950BE5" w:rsidRDefault="004C7C11" w:rsidP="003A1781">
      <w:pPr>
        <w:spacing w:after="240" w:line="276" w:lineRule="auto"/>
        <w:jc w:val="both"/>
        <w:rPr>
          <w:rFonts w:ascii="Alef" w:hAnsi="Alef" w:cs="Alef"/>
          <w:sz w:val="24"/>
          <w:szCs w:val="24"/>
          <w:rtl/>
        </w:rPr>
      </w:pPr>
      <w:r w:rsidRPr="00950BE5">
        <w:rPr>
          <w:rFonts w:ascii="Alef" w:hAnsi="Alef" w:cs="Alef"/>
          <w:sz w:val="24"/>
          <w:szCs w:val="24"/>
          <w:rtl/>
        </w:rPr>
        <w:t xml:space="preserve">בהתאם </w:t>
      </w:r>
      <w:proofErr w:type="spellStart"/>
      <w:r w:rsidR="00DC3CC5" w:rsidRPr="00950BE5">
        <w:rPr>
          <w:rFonts w:ascii="Alef" w:hAnsi="Alef" w:cs="Alef" w:hint="cs"/>
          <w:sz w:val="24"/>
          <w:szCs w:val="24"/>
          <w:rtl/>
        </w:rPr>
        <w:t>לאסדר</w:t>
      </w:r>
      <w:r w:rsidR="001B1530" w:rsidRPr="00950BE5">
        <w:rPr>
          <w:rFonts w:ascii="Alef" w:hAnsi="Alef" w:cs="Alef" w:hint="cs"/>
          <w:sz w:val="24"/>
          <w:szCs w:val="24"/>
          <w:rtl/>
        </w:rPr>
        <w:t>ת</w:t>
      </w:r>
      <w:proofErr w:type="spellEnd"/>
      <w:r w:rsidR="001B1530" w:rsidRPr="00950BE5">
        <w:rPr>
          <w:rFonts w:ascii="Alef" w:hAnsi="Alef" w:cs="Alef" w:hint="cs"/>
          <w:sz w:val="24"/>
          <w:szCs w:val="24"/>
          <w:rtl/>
        </w:rPr>
        <w:t xml:space="preserve"> רשות החשמל</w:t>
      </w:r>
      <w:r w:rsidRPr="00950BE5">
        <w:rPr>
          <w:rFonts w:ascii="Alef" w:hAnsi="Alef" w:cs="Alef"/>
          <w:sz w:val="24"/>
          <w:szCs w:val="24"/>
          <w:rtl/>
        </w:rPr>
        <w:t xml:space="preserve">, הזוכה באתר הייצור יידרש להציע הצעות מחיר ליצור אנרגיה למנהל המערכת. במצב זה, ישנה משמעות תחרותית רבה למספר השחקנים המשתתפים בהליך הצעות המחיר, וכן לנתחי השוק של השחקנים. ככל שמספר השחקנים קטן, התמריץ שקיים לכל שחקן להציע את המחיר התחרותי ביותר פוחת, וכן נוצרים תנאים נוחים יותר לתיאום. גם כאשר קיים מספר רב של שחקנים אך לשחקן אחד נתח שוק משמעותי, הדבר עלול ליצור עיוות בתמריצים השונים שלו, והוא יוכל להציע מחיר גבוה מהמחיר התחרותי. לכן, על מנת לקיים הליך תחרותי, יש לשאוף למספר רב של משתתפים ככל הניתן. </w:t>
      </w:r>
      <w:r w:rsidR="006F72B4" w:rsidRPr="00950BE5">
        <w:rPr>
          <w:rFonts w:ascii="Alef" w:eastAsia="Times New Roman" w:hAnsi="Alef" w:cs="Alef" w:hint="cs"/>
          <w:sz w:val="24"/>
          <w:szCs w:val="24"/>
          <w:rtl/>
        </w:rPr>
        <w:t xml:space="preserve">עם זאת, </w:t>
      </w:r>
      <w:r w:rsidRPr="00950BE5">
        <w:rPr>
          <w:rFonts w:ascii="Alef" w:eastAsia="Times New Roman" w:hAnsi="Alef" w:cs="Alef"/>
          <w:sz w:val="24"/>
          <w:szCs w:val="24"/>
          <w:rtl/>
        </w:rPr>
        <w:t xml:space="preserve">עולה כי התחרות על מכירת החשמל אינה צפויה להיקבע </w:t>
      </w:r>
      <w:r w:rsidR="003A1781">
        <w:rPr>
          <w:rFonts w:ascii="Alef" w:eastAsia="Times New Roman" w:hAnsi="Alef" w:cs="Alef" w:hint="cs"/>
          <w:sz w:val="24"/>
          <w:szCs w:val="24"/>
          <w:rtl/>
        </w:rPr>
        <w:t>אך ו</w:t>
      </w:r>
      <w:r w:rsidRPr="00950BE5">
        <w:rPr>
          <w:rFonts w:ascii="Alef" w:eastAsia="Times New Roman" w:hAnsi="Alef" w:cs="Alef"/>
          <w:sz w:val="24"/>
          <w:szCs w:val="24"/>
          <w:rtl/>
        </w:rPr>
        <w:t xml:space="preserve">רק על ידי תחנות כוח הפועלות במסגרת </w:t>
      </w:r>
      <w:proofErr w:type="spellStart"/>
      <w:r w:rsidRPr="00950BE5">
        <w:rPr>
          <w:rFonts w:ascii="Alef" w:eastAsia="Times New Roman" w:hAnsi="Alef" w:cs="Alef"/>
          <w:sz w:val="24"/>
          <w:szCs w:val="24"/>
          <w:rtl/>
        </w:rPr>
        <w:t>אסדרת</w:t>
      </w:r>
      <w:proofErr w:type="spellEnd"/>
      <w:r w:rsidRPr="00950BE5">
        <w:rPr>
          <w:rFonts w:ascii="Alef" w:eastAsia="Times New Roman" w:hAnsi="Alef" w:cs="Alef"/>
          <w:sz w:val="24"/>
          <w:szCs w:val="24"/>
          <w:rtl/>
        </w:rPr>
        <w:t xml:space="preserve"> רשות החשמל</w:t>
      </w:r>
      <w:r w:rsidR="009E43C1" w:rsidRPr="00950BE5">
        <w:rPr>
          <w:rFonts w:ascii="Alef" w:eastAsia="Times New Roman" w:hAnsi="Alef" w:cs="Alef" w:hint="cs"/>
          <w:sz w:val="24"/>
          <w:szCs w:val="24"/>
          <w:rtl/>
        </w:rPr>
        <w:t>, כפי שתוארה לעיל</w:t>
      </w:r>
      <w:r w:rsidRPr="00950BE5">
        <w:rPr>
          <w:rFonts w:ascii="Alef" w:eastAsia="Times New Roman" w:hAnsi="Alef" w:cs="Alef"/>
          <w:sz w:val="24"/>
          <w:szCs w:val="24"/>
          <w:rtl/>
        </w:rPr>
        <w:t xml:space="preserve">. זאת, בין היתר, מאחר שהתנהגותן של אלו צפויה להיות מרוסנת על ידי שחקנים קיימים ועתידיים נוספים, לרבות חברת החשמל. חלק מתחנות הכוח, שאינן פועלות תחת </w:t>
      </w:r>
      <w:r w:rsidR="006F72B4" w:rsidRPr="00950BE5">
        <w:rPr>
          <w:rFonts w:ascii="Alef" w:eastAsia="Times New Roman" w:hAnsi="Alef" w:cs="Alef" w:hint="cs"/>
          <w:sz w:val="24"/>
          <w:szCs w:val="24"/>
          <w:rtl/>
        </w:rPr>
        <w:t>האסדרה המתוארת</w:t>
      </w:r>
      <w:r w:rsidRPr="00950BE5">
        <w:rPr>
          <w:rFonts w:ascii="Alef" w:eastAsia="Times New Roman" w:hAnsi="Alef" w:cs="Alef"/>
          <w:sz w:val="24"/>
          <w:szCs w:val="24"/>
          <w:rtl/>
        </w:rPr>
        <w:t xml:space="preserve">, לא מציעות את התעריף באופן יזום, </w:t>
      </w:r>
      <w:r w:rsidR="00BC3742">
        <w:rPr>
          <w:rFonts w:ascii="Alef" w:eastAsia="Times New Roman" w:hAnsi="Alef" w:cs="Alef" w:hint="cs"/>
          <w:sz w:val="24"/>
          <w:szCs w:val="24"/>
          <w:rtl/>
        </w:rPr>
        <w:t>שכן</w:t>
      </w:r>
      <w:r w:rsidR="009E43C1" w:rsidRPr="00950BE5">
        <w:rPr>
          <w:rFonts w:ascii="Alef" w:eastAsia="Times New Roman" w:hAnsi="Alef" w:cs="Alef" w:hint="cs"/>
          <w:sz w:val="24"/>
          <w:szCs w:val="24"/>
          <w:rtl/>
        </w:rPr>
        <w:t xml:space="preserve"> </w:t>
      </w:r>
      <w:r w:rsidRPr="00950BE5">
        <w:rPr>
          <w:rFonts w:ascii="Alef" w:eastAsia="Times New Roman" w:hAnsi="Alef" w:cs="Alef"/>
          <w:sz w:val="24"/>
          <w:szCs w:val="24"/>
          <w:rtl/>
        </w:rPr>
        <w:t xml:space="preserve">הוא </w:t>
      </w:r>
      <w:r w:rsidRPr="00950BE5">
        <w:rPr>
          <w:rFonts w:ascii="Alef" w:eastAsia="Times New Roman" w:hAnsi="Alef" w:cs="Alef"/>
          <w:sz w:val="24"/>
          <w:szCs w:val="24"/>
          <w:rtl/>
        </w:rPr>
        <w:lastRenderedPageBreak/>
        <w:t>נקבע עבורן</w:t>
      </w:r>
      <w:r w:rsidR="00CC732E">
        <w:rPr>
          <w:rFonts w:ascii="Alef" w:eastAsia="Times New Roman" w:hAnsi="Alef" w:cs="Alef" w:hint="cs"/>
          <w:sz w:val="24"/>
          <w:szCs w:val="24"/>
          <w:rtl/>
        </w:rPr>
        <w:t xml:space="preserve"> על ידי מנהל המערכת</w:t>
      </w:r>
      <w:r w:rsidRPr="00950BE5">
        <w:rPr>
          <w:rFonts w:ascii="Alef" w:eastAsia="Times New Roman" w:hAnsi="Alef" w:cs="Alef"/>
          <w:sz w:val="24"/>
          <w:szCs w:val="24"/>
          <w:rtl/>
        </w:rPr>
        <w:t xml:space="preserve">, על בסיס עלויות הייצור שלהן. לפיכך, תחנות </w:t>
      </w:r>
      <w:r w:rsidR="009E43C1" w:rsidRPr="00950BE5">
        <w:rPr>
          <w:rFonts w:ascii="Alef" w:eastAsia="Times New Roman" w:hAnsi="Alef" w:cs="Alef" w:hint="cs"/>
          <w:sz w:val="24"/>
          <w:szCs w:val="24"/>
          <w:rtl/>
        </w:rPr>
        <w:t xml:space="preserve">אלו </w:t>
      </w:r>
      <w:r w:rsidRPr="00950BE5">
        <w:rPr>
          <w:rFonts w:ascii="Alef" w:eastAsia="Times New Roman" w:hAnsi="Alef" w:cs="Alef"/>
          <w:sz w:val="24"/>
          <w:szCs w:val="24"/>
          <w:rtl/>
        </w:rPr>
        <w:t xml:space="preserve">מרסנות, הלכה למעשה, את יכולתן של התחנות </w:t>
      </w:r>
      <w:r w:rsidR="009E43C1" w:rsidRPr="00950BE5">
        <w:rPr>
          <w:rFonts w:ascii="Alef" w:eastAsia="Times New Roman" w:hAnsi="Alef" w:cs="Alef" w:hint="cs"/>
          <w:sz w:val="24"/>
          <w:szCs w:val="24"/>
          <w:rtl/>
        </w:rPr>
        <w:t>האחרות</w:t>
      </w:r>
      <w:r w:rsidRPr="00950BE5">
        <w:rPr>
          <w:rFonts w:ascii="Alef" w:eastAsia="Times New Roman" w:hAnsi="Alef" w:cs="Alef"/>
          <w:sz w:val="24"/>
          <w:szCs w:val="24"/>
          <w:rtl/>
        </w:rPr>
        <w:t xml:space="preserve"> להציע תעריף גבוה, וזאת מתוך חשש שמא יבחר מנהל המערכת שלא להפעיל אותן כלל. </w:t>
      </w:r>
    </w:p>
    <w:p w14:paraId="51C1993F" w14:textId="412F34B5" w:rsidR="004C7C11" w:rsidRPr="00950BE5" w:rsidRDefault="004C7C11" w:rsidP="00972C07">
      <w:pPr>
        <w:spacing w:after="240" w:line="276" w:lineRule="auto"/>
        <w:jc w:val="both"/>
        <w:rPr>
          <w:rFonts w:ascii="Alef" w:hAnsi="Alef" w:cs="Alef"/>
          <w:sz w:val="24"/>
          <w:szCs w:val="24"/>
          <w:rtl/>
        </w:rPr>
      </w:pPr>
      <w:r w:rsidRPr="00950BE5">
        <w:rPr>
          <w:rFonts w:ascii="Alef" w:eastAsia="Times New Roman" w:hAnsi="Alef" w:cs="Alef"/>
          <w:sz w:val="24"/>
          <w:szCs w:val="24"/>
          <w:rtl/>
        </w:rPr>
        <w:t xml:space="preserve">אדרבא, היכולת להשפיע על מחירי החשמל קיימת אצל שחקן שכל תחנות הכוח שלו פועלות תחת </w:t>
      </w:r>
      <w:proofErr w:type="spellStart"/>
      <w:r w:rsidRPr="00950BE5">
        <w:rPr>
          <w:rFonts w:ascii="Alef" w:eastAsia="Times New Roman" w:hAnsi="Alef" w:cs="Alef"/>
          <w:sz w:val="24"/>
          <w:szCs w:val="24"/>
          <w:rtl/>
        </w:rPr>
        <w:t>אסדרת</w:t>
      </w:r>
      <w:proofErr w:type="spellEnd"/>
      <w:r w:rsidRPr="00950BE5">
        <w:rPr>
          <w:rFonts w:ascii="Alef" w:eastAsia="Times New Roman" w:hAnsi="Alef" w:cs="Alef"/>
          <w:sz w:val="24"/>
          <w:szCs w:val="24"/>
          <w:rtl/>
        </w:rPr>
        <w:t xml:space="preserve"> רשות החשמל,</w:t>
      </w:r>
      <w:r w:rsidR="009E43C1" w:rsidRPr="00950BE5">
        <w:rPr>
          <w:rFonts w:ascii="Alef" w:eastAsia="Times New Roman" w:hAnsi="Alef" w:cs="Alef" w:hint="cs"/>
          <w:sz w:val="24"/>
          <w:szCs w:val="24"/>
          <w:rtl/>
        </w:rPr>
        <w:t xml:space="preserve"> כפי שתואר לעיל,</w:t>
      </w:r>
      <w:r w:rsidRPr="00950BE5">
        <w:rPr>
          <w:rFonts w:ascii="Alef" w:eastAsia="Times New Roman" w:hAnsi="Alef" w:cs="Alef"/>
          <w:sz w:val="24"/>
          <w:szCs w:val="24"/>
          <w:rtl/>
        </w:rPr>
        <w:t xml:space="preserve"> אך גם אצל שחקן שרק חלק מתחנות הכוח שלו פועלות תחת אסדרה זו. כך לדוגמה, יכול שחקן בעל נתח שוק משמעותי לצמצם את היצור בתחנות שבבעלותו, אשר אינן פועלות תחת </w:t>
      </w:r>
      <w:proofErr w:type="spellStart"/>
      <w:r w:rsidRPr="00950BE5">
        <w:rPr>
          <w:rFonts w:ascii="Alef" w:eastAsia="Times New Roman" w:hAnsi="Alef" w:cs="Alef"/>
          <w:sz w:val="24"/>
          <w:szCs w:val="24"/>
          <w:rtl/>
        </w:rPr>
        <w:t>אסדרת</w:t>
      </w:r>
      <w:proofErr w:type="spellEnd"/>
      <w:r w:rsidRPr="00950BE5">
        <w:rPr>
          <w:rFonts w:ascii="Alef" w:eastAsia="Times New Roman" w:hAnsi="Alef" w:cs="Alef"/>
          <w:sz w:val="24"/>
          <w:szCs w:val="24"/>
          <w:rtl/>
        </w:rPr>
        <w:t xml:space="preserve"> רשות החשמל. כתוצאה מכך, מחיר החשמל שישולם לשחקן זה בעבור יצור החשמל במסגרת </w:t>
      </w:r>
      <w:proofErr w:type="spellStart"/>
      <w:r w:rsidRPr="00950BE5">
        <w:rPr>
          <w:rFonts w:ascii="Alef" w:eastAsia="Times New Roman" w:hAnsi="Alef" w:cs="Alef"/>
          <w:sz w:val="24"/>
          <w:szCs w:val="24"/>
          <w:rtl/>
        </w:rPr>
        <w:t>אסדרת</w:t>
      </w:r>
      <w:proofErr w:type="spellEnd"/>
      <w:r w:rsidRPr="00950BE5">
        <w:rPr>
          <w:rFonts w:ascii="Alef" w:eastAsia="Times New Roman" w:hAnsi="Alef" w:cs="Alef"/>
          <w:sz w:val="24"/>
          <w:szCs w:val="24"/>
          <w:rtl/>
        </w:rPr>
        <w:t xml:space="preserve"> רשות החשמל עשוי לעלות. לפיכך, נראה כי יכולתו של שחקן להשפיע באופן חד צדדי על מחיר החשמל נובעת בראש ובראשונה מחלקו בייצור החשמל ואינה קשורה למספר התחנות המצויות ברשותו. </w:t>
      </w:r>
    </w:p>
    <w:p w14:paraId="05EC02FD" w14:textId="355A9CFE" w:rsidR="004C7C11" w:rsidRPr="00950BE5" w:rsidRDefault="004C7C11" w:rsidP="00E55678">
      <w:pPr>
        <w:spacing w:after="240" w:line="276" w:lineRule="auto"/>
        <w:jc w:val="both"/>
        <w:rPr>
          <w:rFonts w:ascii="Alef" w:hAnsi="Alef" w:cs="Alef"/>
          <w:sz w:val="24"/>
          <w:szCs w:val="24"/>
          <w:rtl/>
        </w:rPr>
      </w:pPr>
      <w:r w:rsidRPr="00950BE5">
        <w:rPr>
          <w:rFonts w:ascii="Alef" w:hAnsi="Alef" w:cs="Alef"/>
          <w:sz w:val="24"/>
          <w:szCs w:val="24"/>
          <w:rtl/>
        </w:rPr>
        <w:t xml:space="preserve">במסגרת בדיקה שערכה הרשות עולה כי משקי חשמל שונים בעולם אשר פועלים במשטר אסדרה הדומה לעקרונות </w:t>
      </w:r>
      <w:proofErr w:type="spellStart"/>
      <w:r w:rsidR="00E55678">
        <w:rPr>
          <w:rFonts w:ascii="Alef" w:hAnsi="Alef" w:cs="Alef" w:hint="cs"/>
          <w:sz w:val="24"/>
          <w:szCs w:val="24"/>
          <w:rtl/>
        </w:rPr>
        <w:t>אסדרת</w:t>
      </w:r>
      <w:proofErr w:type="spellEnd"/>
      <w:r w:rsidRPr="00950BE5">
        <w:rPr>
          <w:rFonts w:ascii="Alef" w:hAnsi="Alef" w:cs="Alef"/>
          <w:sz w:val="24"/>
          <w:szCs w:val="24"/>
          <w:rtl/>
        </w:rPr>
        <w:t xml:space="preserve"> רשות החשמל, מתפקדים באופן תחרותי מיטבי כאשר ישנו מספר רב של שחקנים.</w:t>
      </w:r>
      <w:r w:rsidRPr="00950BE5">
        <w:rPr>
          <w:rStyle w:val="FootnoteReference"/>
          <w:rFonts w:ascii="Alef" w:hAnsi="Alef" w:cs="Alef"/>
          <w:sz w:val="24"/>
          <w:szCs w:val="24"/>
          <w:rtl/>
        </w:rPr>
        <w:footnoteReference w:id="11"/>
      </w:r>
      <w:r w:rsidRPr="00950BE5">
        <w:rPr>
          <w:rFonts w:ascii="Alef" w:hAnsi="Alef" w:cs="Alef"/>
          <w:sz w:val="24"/>
          <w:szCs w:val="24"/>
          <w:rtl/>
        </w:rPr>
        <w:t xml:space="preserve"> בהתאם לכך, ישנה עדיפות בהיבט זה למספר רב עד כמה שניתן של שחקנים שונים בעלי נתח שוק שאיננו יוצר דומיננטיות לאף שחקן. </w:t>
      </w:r>
    </w:p>
    <w:p w14:paraId="4A3B6061" w14:textId="54B8F641" w:rsidR="004C7C11" w:rsidRPr="00950BE5" w:rsidRDefault="004C7C11" w:rsidP="00CC732E">
      <w:pPr>
        <w:spacing w:after="240" w:line="276" w:lineRule="auto"/>
        <w:jc w:val="both"/>
        <w:rPr>
          <w:rFonts w:ascii="Alef" w:eastAsia="Times New Roman" w:hAnsi="Alef" w:cs="Alef"/>
          <w:sz w:val="24"/>
          <w:szCs w:val="24"/>
        </w:rPr>
      </w:pPr>
      <w:r w:rsidRPr="00950BE5">
        <w:rPr>
          <w:rFonts w:ascii="Alef" w:hAnsi="Alef" w:cs="Alef" w:hint="eastAsia"/>
          <w:sz w:val="24"/>
          <w:szCs w:val="24"/>
          <w:rtl/>
        </w:rPr>
        <w:t>לעמדת</w:t>
      </w:r>
      <w:r w:rsidRPr="00950BE5">
        <w:rPr>
          <w:rFonts w:ascii="Alef" w:hAnsi="Alef" w:cs="Alef"/>
          <w:sz w:val="24"/>
          <w:szCs w:val="24"/>
          <w:rtl/>
        </w:rPr>
        <w:t xml:space="preserve"> </w:t>
      </w:r>
      <w:r w:rsidRPr="00950BE5">
        <w:rPr>
          <w:rFonts w:ascii="Alef" w:hAnsi="Alef" w:cs="Alef" w:hint="eastAsia"/>
          <w:sz w:val="24"/>
          <w:szCs w:val="24"/>
          <w:rtl/>
        </w:rPr>
        <w:t>הרשות</w:t>
      </w:r>
      <w:r w:rsidRPr="00950BE5">
        <w:rPr>
          <w:rFonts w:ascii="Alef" w:hAnsi="Alef" w:cs="Alef"/>
          <w:sz w:val="24"/>
          <w:szCs w:val="24"/>
          <w:rtl/>
        </w:rPr>
        <w:t xml:space="preserve"> </w:t>
      </w:r>
      <w:r w:rsidRPr="00950BE5">
        <w:rPr>
          <w:rFonts w:ascii="Alef" w:hAnsi="Alef" w:cs="Alef" w:hint="eastAsia"/>
          <w:sz w:val="24"/>
          <w:szCs w:val="24"/>
          <w:rtl/>
        </w:rPr>
        <w:t>ההליך</w:t>
      </w:r>
      <w:r w:rsidRPr="00950BE5">
        <w:rPr>
          <w:rFonts w:ascii="Alef" w:hAnsi="Alef" w:cs="Alef"/>
          <w:sz w:val="24"/>
          <w:szCs w:val="24"/>
          <w:rtl/>
        </w:rPr>
        <w:t xml:space="preserve"> </w:t>
      </w:r>
      <w:r w:rsidRPr="00950BE5">
        <w:rPr>
          <w:rFonts w:ascii="Alef" w:hAnsi="Alef" w:cs="Alef" w:hint="eastAsia"/>
          <w:sz w:val="24"/>
          <w:szCs w:val="24"/>
          <w:rtl/>
        </w:rPr>
        <w:t>התחרותי</w:t>
      </w:r>
      <w:r w:rsidRPr="00950BE5">
        <w:rPr>
          <w:rFonts w:ascii="Alef" w:hAnsi="Alef" w:cs="Alef"/>
          <w:sz w:val="24"/>
          <w:szCs w:val="24"/>
          <w:rtl/>
        </w:rPr>
        <w:t xml:space="preserve"> </w:t>
      </w:r>
      <w:r w:rsidRPr="00950BE5">
        <w:rPr>
          <w:rFonts w:ascii="Alef" w:hAnsi="Alef" w:cs="Alef" w:hint="eastAsia"/>
          <w:sz w:val="24"/>
          <w:szCs w:val="24"/>
          <w:rtl/>
        </w:rPr>
        <w:t>למכירת</w:t>
      </w:r>
      <w:r w:rsidRPr="00950BE5">
        <w:rPr>
          <w:rFonts w:ascii="Alef" w:hAnsi="Alef" w:cs="Alef"/>
          <w:sz w:val="24"/>
          <w:szCs w:val="24"/>
          <w:rtl/>
        </w:rPr>
        <w:t xml:space="preserve"> </w:t>
      </w:r>
      <w:r w:rsidRPr="00950BE5">
        <w:rPr>
          <w:rFonts w:ascii="Alef" w:hAnsi="Alef" w:cs="Alef" w:hint="eastAsia"/>
          <w:sz w:val="24"/>
          <w:szCs w:val="24"/>
          <w:rtl/>
        </w:rPr>
        <w:t>אתרי</w:t>
      </w:r>
      <w:r w:rsidRPr="00950BE5">
        <w:rPr>
          <w:rFonts w:ascii="Alef" w:hAnsi="Alef" w:cs="Alef"/>
          <w:sz w:val="24"/>
          <w:szCs w:val="24"/>
          <w:rtl/>
        </w:rPr>
        <w:t xml:space="preserve"> </w:t>
      </w:r>
      <w:r w:rsidRPr="00950BE5">
        <w:rPr>
          <w:rFonts w:ascii="Alef" w:hAnsi="Alef" w:cs="Alef" w:hint="eastAsia"/>
          <w:sz w:val="24"/>
          <w:szCs w:val="24"/>
          <w:rtl/>
        </w:rPr>
        <w:t>הייצור</w:t>
      </w:r>
      <w:r w:rsidRPr="00950BE5">
        <w:rPr>
          <w:rFonts w:ascii="Alef" w:hAnsi="Alef" w:cs="Alef"/>
          <w:sz w:val="24"/>
          <w:szCs w:val="24"/>
          <w:rtl/>
        </w:rPr>
        <w:t xml:space="preserve"> </w:t>
      </w:r>
      <w:r w:rsidRPr="00950BE5">
        <w:rPr>
          <w:rFonts w:ascii="Alef" w:hAnsi="Alef" w:cs="Alef" w:hint="eastAsia"/>
          <w:sz w:val="24"/>
          <w:szCs w:val="24"/>
          <w:rtl/>
        </w:rPr>
        <w:t>מהווה</w:t>
      </w:r>
      <w:r w:rsidRPr="00950BE5">
        <w:rPr>
          <w:rFonts w:ascii="Alef" w:hAnsi="Alef" w:cs="Alef"/>
          <w:sz w:val="24"/>
          <w:szCs w:val="24"/>
          <w:rtl/>
        </w:rPr>
        <w:t xml:space="preserve"> </w:t>
      </w:r>
      <w:r w:rsidRPr="00950BE5">
        <w:rPr>
          <w:rFonts w:ascii="Alef" w:hAnsi="Alef" w:cs="Alef" w:hint="eastAsia"/>
          <w:sz w:val="24"/>
          <w:szCs w:val="24"/>
          <w:rtl/>
        </w:rPr>
        <w:t>הזדמנות</w:t>
      </w:r>
      <w:r w:rsidRPr="00950BE5">
        <w:rPr>
          <w:rFonts w:ascii="Alef" w:hAnsi="Alef" w:cs="Alef"/>
          <w:sz w:val="24"/>
          <w:szCs w:val="24"/>
          <w:rtl/>
        </w:rPr>
        <w:t xml:space="preserve"> </w:t>
      </w:r>
      <w:r w:rsidRPr="00950BE5">
        <w:rPr>
          <w:rFonts w:ascii="Alef" w:hAnsi="Alef" w:cs="Alef" w:hint="eastAsia"/>
          <w:sz w:val="24"/>
          <w:szCs w:val="24"/>
          <w:rtl/>
        </w:rPr>
        <w:t>לכניסת</w:t>
      </w:r>
      <w:r w:rsidRPr="00950BE5">
        <w:rPr>
          <w:rFonts w:ascii="Alef" w:hAnsi="Alef" w:cs="Alef"/>
          <w:sz w:val="24"/>
          <w:szCs w:val="24"/>
          <w:rtl/>
        </w:rPr>
        <w:t xml:space="preserve"> </w:t>
      </w:r>
      <w:r w:rsidRPr="00950BE5">
        <w:rPr>
          <w:rFonts w:ascii="Alef" w:hAnsi="Alef" w:cs="Alef" w:hint="eastAsia"/>
          <w:sz w:val="24"/>
          <w:szCs w:val="24"/>
          <w:rtl/>
        </w:rPr>
        <w:t>מתחרים</w:t>
      </w:r>
      <w:r w:rsidRPr="00950BE5">
        <w:rPr>
          <w:rFonts w:ascii="Alef" w:hAnsi="Alef" w:cs="Alef"/>
          <w:sz w:val="24"/>
          <w:szCs w:val="24"/>
          <w:rtl/>
        </w:rPr>
        <w:t xml:space="preserve"> </w:t>
      </w:r>
      <w:r w:rsidRPr="00950BE5">
        <w:rPr>
          <w:rFonts w:ascii="Alef" w:hAnsi="Alef" w:cs="Alef" w:hint="eastAsia"/>
          <w:sz w:val="24"/>
          <w:szCs w:val="24"/>
          <w:rtl/>
        </w:rPr>
        <w:t>חדשים</w:t>
      </w:r>
      <w:r w:rsidRPr="00950BE5">
        <w:rPr>
          <w:rFonts w:ascii="Alef" w:hAnsi="Alef" w:cs="Alef"/>
          <w:sz w:val="24"/>
          <w:szCs w:val="24"/>
          <w:rtl/>
        </w:rPr>
        <w:t xml:space="preserve"> </w:t>
      </w:r>
      <w:r w:rsidRPr="00950BE5">
        <w:rPr>
          <w:rFonts w:ascii="Alef" w:hAnsi="Alef" w:cs="Alef" w:hint="eastAsia"/>
          <w:sz w:val="24"/>
          <w:szCs w:val="24"/>
          <w:rtl/>
        </w:rPr>
        <w:t>לשוק</w:t>
      </w:r>
      <w:r w:rsidRPr="00950BE5">
        <w:rPr>
          <w:rFonts w:ascii="Alef" w:hAnsi="Alef" w:cs="Alef"/>
          <w:sz w:val="24"/>
          <w:szCs w:val="24"/>
          <w:rtl/>
        </w:rPr>
        <w:t xml:space="preserve">. זאת, לצד הקמתם של אתרים חדשים, תהליך </w:t>
      </w:r>
      <w:r w:rsidR="00CC732E">
        <w:rPr>
          <w:rFonts w:ascii="Alef" w:hAnsi="Alef" w:cs="Alef" w:hint="cs"/>
          <w:sz w:val="24"/>
          <w:szCs w:val="24"/>
          <w:rtl/>
        </w:rPr>
        <w:t>ש</w:t>
      </w:r>
      <w:r w:rsidRPr="00950BE5">
        <w:rPr>
          <w:rFonts w:ascii="Alef" w:hAnsi="Alef" w:cs="Alef"/>
          <w:sz w:val="24"/>
          <w:szCs w:val="24"/>
          <w:rtl/>
        </w:rPr>
        <w:t xml:space="preserve">בו החלו לפעול לאחרונה מספר גורמים מהתחום. חשוב לציין, כי </w:t>
      </w:r>
      <w:r w:rsidRPr="00950BE5">
        <w:rPr>
          <w:rFonts w:ascii="Alef" w:hAnsi="Alef" w:cs="Alef" w:hint="eastAsia"/>
          <w:sz w:val="24"/>
          <w:szCs w:val="24"/>
          <w:rtl/>
        </w:rPr>
        <w:t>בשונה</w:t>
      </w:r>
      <w:r w:rsidRPr="00950BE5">
        <w:rPr>
          <w:rFonts w:ascii="Alef" w:hAnsi="Alef" w:cs="Alef"/>
          <w:sz w:val="24"/>
          <w:szCs w:val="24"/>
          <w:rtl/>
        </w:rPr>
        <w:t xml:space="preserve"> מאתרים חדשים, אתרי הייצור הנמכרים הם אתרים פעילים שאינם דורשים הליכי תכנון והקמה שעלולים להתארך זמן רב. </w:t>
      </w:r>
      <w:r w:rsidR="00885E7A" w:rsidRPr="00950BE5">
        <w:rPr>
          <w:rFonts w:ascii="Alef" w:hAnsi="Alef" w:cs="Alef" w:hint="cs"/>
          <w:sz w:val="24"/>
          <w:szCs w:val="24"/>
          <w:rtl/>
        </w:rPr>
        <w:t>בהתאם לכך,</w:t>
      </w:r>
      <w:r w:rsidR="00885E7A" w:rsidRPr="00950BE5">
        <w:rPr>
          <w:rFonts w:ascii="Alef" w:hAnsi="Alef" w:cs="Alef"/>
          <w:sz w:val="24"/>
          <w:szCs w:val="24"/>
          <w:rtl/>
        </w:rPr>
        <w:t xml:space="preserve"> </w:t>
      </w:r>
      <w:r w:rsidRPr="00950BE5">
        <w:rPr>
          <w:rFonts w:ascii="Alef" w:hAnsi="Alef" w:cs="Alef"/>
          <w:sz w:val="24"/>
          <w:szCs w:val="24"/>
          <w:rtl/>
        </w:rPr>
        <w:t>הם עשויים להיות בעלי ערך גבוה יותר בעיני השחקנים השונים, ובפרט בעיני שחקנים חדשים.</w:t>
      </w:r>
      <w:r w:rsidRPr="00950BE5">
        <w:rPr>
          <w:rFonts w:ascii="Alef" w:eastAsia="David" w:hAnsi="Alef" w:cs="Alef"/>
          <w:sz w:val="24"/>
          <w:szCs w:val="24"/>
          <w:rtl/>
        </w:rPr>
        <w:t xml:space="preserve"> </w:t>
      </w:r>
      <w:r w:rsidR="00885E7A" w:rsidRPr="00950BE5">
        <w:rPr>
          <w:rFonts w:ascii="Alef" w:eastAsia="Times New Roman" w:hAnsi="Alef" w:cs="Alef" w:hint="cs"/>
          <w:sz w:val="24"/>
          <w:szCs w:val="24"/>
          <w:rtl/>
        </w:rPr>
        <w:t xml:space="preserve">בד בבד, </w:t>
      </w:r>
      <w:r w:rsidRPr="00950BE5">
        <w:rPr>
          <w:rFonts w:ascii="Alef" w:eastAsia="Times New Roman" w:hAnsi="Alef" w:cs="Alef"/>
          <w:sz w:val="24"/>
          <w:szCs w:val="24"/>
          <w:rtl/>
        </w:rPr>
        <w:t xml:space="preserve">תוצאות המכרז על מכירת </w:t>
      </w:r>
      <w:r w:rsidR="009E009C" w:rsidRPr="00950BE5">
        <w:rPr>
          <w:rFonts w:ascii="Alef" w:eastAsia="Times New Roman" w:hAnsi="Alef" w:cs="Alef" w:hint="cs"/>
          <w:sz w:val="24"/>
          <w:szCs w:val="24"/>
          <w:rtl/>
        </w:rPr>
        <w:t>אתר</w:t>
      </w:r>
      <w:r w:rsidRPr="00950BE5">
        <w:rPr>
          <w:rFonts w:ascii="Alef" w:eastAsia="Times New Roman" w:hAnsi="Alef" w:cs="Alef"/>
          <w:sz w:val="24"/>
          <w:szCs w:val="24"/>
          <w:rtl/>
        </w:rPr>
        <w:t xml:space="preserve"> אלון תבור מלמדות כי מספר לא מבוטל של שחקנים,</w:t>
      </w:r>
      <w:r w:rsidRPr="00950BE5">
        <w:rPr>
          <w:rFonts w:ascii="Alef" w:eastAsia="Times New Roman" w:hAnsi="Alef" w:cs="Alef"/>
          <w:sz w:val="24"/>
          <w:szCs w:val="24"/>
          <w:vertAlign w:val="superscript"/>
          <w:rtl/>
        </w:rPr>
        <w:footnoteReference w:id="12"/>
      </w:r>
      <w:r w:rsidRPr="00950BE5">
        <w:rPr>
          <w:rFonts w:ascii="Alef" w:eastAsia="Times New Roman" w:hAnsi="Alef" w:cs="Alef"/>
          <w:sz w:val="24"/>
          <w:szCs w:val="24"/>
          <w:rtl/>
        </w:rPr>
        <w:t xml:space="preserve"> ובהם שחקנים חדשים, התמודדו במכרז זה, באופן שתרם להשגת מחיר מכירה גבוה. כמו כן, ממידע שנמסר </w:t>
      </w:r>
      <w:r w:rsidR="00EC1D13" w:rsidRPr="00950BE5">
        <w:rPr>
          <w:rFonts w:ascii="Alef" w:eastAsia="Times New Roman" w:hAnsi="Alef" w:cs="Alef" w:hint="cs"/>
          <w:sz w:val="24"/>
          <w:szCs w:val="24"/>
          <w:rtl/>
        </w:rPr>
        <w:t>לרשות</w:t>
      </w:r>
      <w:r w:rsidRPr="00950BE5">
        <w:rPr>
          <w:rFonts w:ascii="Alef" w:eastAsia="Times New Roman" w:hAnsi="Alef" w:cs="Alef"/>
          <w:sz w:val="24"/>
          <w:szCs w:val="24"/>
          <w:rtl/>
        </w:rPr>
        <w:t xml:space="preserve"> במסגרת בחינה שערכה לצורך הייעוץ בהליך התחרותי למכירת </w:t>
      </w:r>
      <w:r w:rsidR="009E009C" w:rsidRPr="00950BE5">
        <w:rPr>
          <w:rFonts w:ascii="Alef" w:eastAsia="Times New Roman" w:hAnsi="Alef" w:cs="Alef" w:hint="cs"/>
          <w:sz w:val="24"/>
          <w:szCs w:val="24"/>
          <w:rtl/>
        </w:rPr>
        <w:t>אתר</w:t>
      </w:r>
      <w:r w:rsidRPr="00950BE5">
        <w:rPr>
          <w:rFonts w:ascii="Alef" w:eastAsia="Times New Roman" w:hAnsi="Alef" w:cs="Alef"/>
          <w:sz w:val="24"/>
          <w:szCs w:val="24"/>
          <w:rtl/>
        </w:rPr>
        <w:t xml:space="preserve"> רמת חובב, עולה כי גורמים נוספים, שאינם פועלים נכון להיום בשווקים הרלוונטיים, או שפעילותם מוגבלת, מקדמים בימים אלו הקמת תחנות כוח חדשות באתרים שונים ברחבי הארץ. </w:t>
      </w:r>
      <w:r w:rsidR="00EC1D13" w:rsidRPr="00950BE5">
        <w:rPr>
          <w:rFonts w:ascii="Alef" w:eastAsia="Times New Roman" w:hAnsi="Alef" w:cs="Alef" w:hint="cs"/>
          <w:sz w:val="24"/>
          <w:szCs w:val="24"/>
          <w:rtl/>
        </w:rPr>
        <w:t>הרשות</w:t>
      </w:r>
      <w:r w:rsidRPr="00950BE5">
        <w:rPr>
          <w:rFonts w:ascii="Alef" w:eastAsia="Times New Roman" w:hAnsi="Alef" w:cs="Alef"/>
          <w:sz w:val="24"/>
          <w:szCs w:val="24"/>
          <w:rtl/>
        </w:rPr>
        <w:t xml:space="preserve"> סבורה כי יש בממצאים </w:t>
      </w:r>
      <w:r w:rsidRPr="00950BE5">
        <w:rPr>
          <w:rFonts w:ascii="Alef" w:eastAsia="Times New Roman" w:hAnsi="Alef" w:cs="Alef"/>
          <w:sz w:val="24"/>
          <w:szCs w:val="24"/>
          <w:rtl/>
        </w:rPr>
        <w:lastRenderedPageBreak/>
        <w:t>אלו כדי להעיד על היתכנות גבוהה לכניסתם של שחקנים חדשים למשק החשמל, באופן אשר צפוי להגביר את התחרות בשווקים הרלוונטיים</w:t>
      </w:r>
      <w:r w:rsidR="00D1086A" w:rsidRPr="00950BE5">
        <w:rPr>
          <w:rFonts w:ascii="Alef" w:eastAsia="Times New Roman" w:hAnsi="Alef" w:cs="Alef" w:hint="cs"/>
          <w:sz w:val="24"/>
          <w:szCs w:val="24"/>
          <w:rtl/>
        </w:rPr>
        <w:t>.</w:t>
      </w:r>
    </w:p>
    <w:p w14:paraId="40CEE37C" w14:textId="1D348C80" w:rsidR="004C7C11" w:rsidRPr="00950BE5" w:rsidRDefault="00885E7A" w:rsidP="00C6757D">
      <w:pPr>
        <w:spacing w:after="240" w:line="276" w:lineRule="auto"/>
        <w:jc w:val="both"/>
        <w:rPr>
          <w:rFonts w:ascii="Alef" w:hAnsi="Alef" w:cs="Alef"/>
          <w:sz w:val="24"/>
          <w:szCs w:val="24"/>
        </w:rPr>
      </w:pPr>
      <w:r w:rsidRPr="00950BE5">
        <w:rPr>
          <w:rFonts w:ascii="Alef" w:hAnsi="Alef" w:cs="Alef" w:hint="cs"/>
          <w:sz w:val="24"/>
          <w:szCs w:val="24"/>
          <w:rtl/>
        </w:rPr>
        <w:t xml:space="preserve">לבסוף, יש לציין כי </w:t>
      </w:r>
      <w:r w:rsidR="004C7C11" w:rsidRPr="00950BE5">
        <w:rPr>
          <w:rFonts w:ascii="Alef" w:hAnsi="Alef" w:cs="Alef"/>
          <w:sz w:val="24"/>
          <w:szCs w:val="24"/>
          <w:rtl/>
        </w:rPr>
        <w:t>ההספק המותקן שיוצע למכירה באשכול עומד על כ-1,600 מגוואט, והוא גדול משמעותית משאר אתרי הייצור הנמכרים. לעמדת הרשות יש לפעול על מנת לפצל את המכירה באתר, וזאת על מנת לאפשר זכייה של גורם נוסף באתר ייצור ועל מנת למנוע זכייה של גורם אחד בלבד במלוא ההספק של אשכול באופן שעלול ליצור לו נתח שוק משמעותי. בכל מקרה, טרם תחילת ההליך התחרותי למכירת אשכול בכוונת הרשות לבחון האם יש צורך בעדכון העקרונות המפורטים כאן נוכח התקדמות הליך מכירת התחנות ועל מנת להבטיח מספר מציעים מספק.</w:t>
      </w:r>
    </w:p>
    <w:p w14:paraId="5BF9E0DD" w14:textId="77777777" w:rsidR="004C7C11" w:rsidRPr="00950BE5" w:rsidRDefault="004C7C11" w:rsidP="00950BE5">
      <w:pPr>
        <w:pStyle w:val="Heading2"/>
        <w:spacing w:line="276" w:lineRule="auto"/>
        <w:rPr>
          <w:rFonts w:ascii="Alef" w:hAnsi="Alef" w:cs="Alef"/>
        </w:rPr>
      </w:pPr>
      <w:r w:rsidRPr="00950BE5">
        <w:rPr>
          <w:rFonts w:ascii="Alef" w:hAnsi="Alef" w:cs="Alef"/>
          <w:rtl/>
        </w:rPr>
        <w:t>בעלות אנכית</w:t>
      </w:r>
    </w:p>
    <w:p w14:paraId="1C346FCE" w14:textId="77777777" w:rsidR="004C7C11" w:rsidRPr="00950BE5" w:rsidRDefault="004C7C11" w:rsidP="00950BE5">
      <w:pPr>
        <w:spacing w:after="240" w:line="276" w:lineRule="auto"/>
        <w:jc w:val="both"/>
        <w:rPr>
          <w:rFonts w:ascii="Alef" w:hAnsi="Alef" w:cs="Alef"/>
          <w:sz w:val="24"/>
          <w:szCs w:val="24"/>
          <w:rtl/>
        </w:rPr>
      </w:pPr>
      <w:r w:rsidRPr="00950BE5">
        <w:rPr>
          <w:rFonts w:ascii="Alef" w:hAnsi="Alef" w:cs="Alef"/>
          <w:sz w:val="24"/>
          <w:szCs w:val="24"/>
          <w:rtl/>
        </w:rPr>
        <w:t>גז טבעי מהווה תשומה משמעותית בייצור חשמל, ועלות הרכישה שלו מהווה מרכיב עיקרי בקביעת מחיר האנרגיה. כיום פועלים במשק הישראלי מספר מועט של ספקי גז. מיעוט השחקנים מוביל לכך שלספקי הגז יכולת לשלוט בעלויות הייצור של יצרני החשמל וכך במחיר שבו יצרני החשמל מציעים למכירה את האנרגיה. כאשר התשלום עבור האנרגיה שווה ל-</w:t>
      </w:r>
      <w:r w:rsidRPr="00950BE5">
        <w:rPr>
          <w:rFonts w:ascii="Alef" w:hAnsi="Alef" w:cs="Alef"/>
          <w:sz w:val="24"/>
          <w:szCs w:val="24"/>
        </w:rPr>
        <w:t>SMP</w:t>
      </w:r>
      <w:r w:rsidRPr="00950BE5">
        <w:rPr>
          <w:rFonts w:ascii="Alef" w:hAnsi="Alef" w:cs="Alef"/>
          <w:sz w:val="24"/>
          <w:szCs w:val="24"/>
          <w:rtl/>
        </w:rPr>
        <w:t>, ספק גז טבעי שבבעלותו מתקן לייצור חשמל יכול להשיא את רווחיו באמצעות השליטה בהצעות המחיר על האנרגיה של מתחריו, וכתוצאה מכך להביא לעליה בעלויות הכלל משקיות. לפיכך, כל עוד פועלים במשק פחות מחמישה מאגרי גז טבעי, בבעלות שונה, המחוברים לחוף הישראלי, לעמדת הרשות יש מקום להגביל בעל חזקה (למעלה מ-5%) במאגר גז טבעי,</w:t>
      </w:r>
      <w:r w:rsidRPr="00950BE5">
        <w:rPr>
          <w:rStyle w:val="FootnoteReference"/>
          <w:rFonts w:ascii="Alef" w:hAnsi="Alef" w:cs="Alef"/>
          <w:sz w:val="24"/>
          <w:szCs w:val="24"/>
          <w:rtl/>
        </w:rPr>
        <w:footnoteReference w:id="13"/>
      </w:r>
      <w:r w:rsidRPr="00950BE5">
        <w:rPr>
          <w:rFonts w:ascii="Alef" w:hAnsi="Alef" w:cs="Alef"/>
          <w:sz w:val="24"/>
          <w:szCs w:val="24"/>
          <w:rtl/>
        </w:rPr>
        <w:t xml:space="preserve"> כך שלא יוכל לזכות באחת התחנות הנמכרות. </w:t>
      </w:r>
    </w:p>
    <w:p w14:paraId="22B1EC6F" w14:textId="77777777" w:rsidR="004C7C11" w:rsidRPr="00950BE5" w:rsidRDefault="004C7C11" w:rsidP="00950BE5">
      <w:pPr>
        <w:pStyle w:val="Heading1"/>
        <w:spacing w:line="276" w:lineRule="auto"/>
        <w:rPr>
          <w:rFonts w:ascii="Alef" w:hAnsi="Alef" w:cs="Alef"/>
          <w:rtl/>
        </w:rPr>
      </w:pPr>
      <w:r w:rsidRPr="00950BE5">
        <w:rPr>
          <w:rFonts w:ascii="Alef" w:hAnsi="Alef" w:cs="Alef"/>
          <w:rtl/>
        </w:rPr>
        <w:t>כללים לייעוץ לתחרות ענפית במכירת אתרי הייצור</w:t>
      </w:r>
    </w:p>
    <w:p w14:paraId="1EC81373" w14:textId="2D646C49" w:rsidR="004C7C11" w:rsidRPr="00950BE5" w:rsidRDefault="004C7C11" w:rsidP="00950BE5">
      <w:pPr>
        <w:spacing w:after="120" w:line="276" w:lineRule="auto"/>
        <w:jc w:val="both"/>
        <w:rPr>
          <w:rFonts w:ascii="Alef" w:hAnsi="Alef" w:cs="Alef"/>
          <w:sz w:val="24"/>
          <w:szCs w:val="24"/>
          <w:rtl/>
        </w:rPr>
      </w:pPr>
      <w:r w:rsidRPr="00950BE5">
        <w:rPr>
          <w:rFonts w:ascii="Alef" w:hAnsi="Alef" w:cs="Alef"/>
          <w:sz w:val="24"/>
          <w:szCs w:val="24"/>
          <w:rtl/>
        </w:rPr>
        <w:t xml:space="preserve">כפי שהובהר לעיל, לאור החשיבות שבריבוי המתחרים הפוטנציאליים בהליכים התחרותיים למכירת אתרי הייצור, ולאור החשיבות שבכניסת מתחרים חדשים לשוק ייצור החשמל, הרי שבייעוץ באשר למכירת אתרי הייצור תפעל </w:t>
      </w:r>
      <w:r w:rsidR="00EC1D13" w:rsidRPr="00950BE5">
        <w:rPr>
          <w:rFonts w:ascii="Alef" w:hAnsi="Alef" w:cs="Alef" w:hint="cs"/>
          <w:sz w:val="24"/>
          <w:szCs w:val="24"/>
          <w:rtl/>
        </w:rPr>
        <w:t>הרשות</w:t>
      </w:r>
      <w:r w:rsidR="00EC1D13" w:rsidRPr="00950BE5">
        <w:rPr>
          <w:rFonts w:ascii="Alef" w:hAnsi="Alef" w:cs="Alef"/>
          <w:sz w:val="24"/>
          <w:szCs w:val="24"/>
          <w:rtl/>
        </w:rPr>
        <w:t xml:space="preserve"> </w:t>
      </w:r>
      <w:r w:rsidRPr="00950BE5">
        <w:rPr>
          <w:rFonts w:ascii="Alef" w:hAnsi="Alef" w:cs="Alef"/>
          <w:sz w:val="24"/>
          <w:szCs w:val="24"/>
          <w:rtl/>
        </w:rPr>
        <w:t>בהתאם לעקרונות הבאים.</w:t>
      </w:r>
      <w:r w:rsidRPr="00950BE5">
        <w:rPr>
          <w:rStyle w:val="FootnoteReference"/>
          <w:rFonts w:ascii="Alef" w:hAnsi="Alef" w:cs="Alef"/>
          <w:sz w:val="24"/>
          <w:szCs w:val="24"/>
          <w:rtl/>
        </w:rPr>
        <w:footnoteReference w:id="14"/>
      </w:r>
      <w:r w:rsidRPr="00950BE5">
        <w:rPr>
          <w:rFonts w:ascii="Alef" w:hAnsi="Alef" w:cs="Alef"/>
          <w:sz w:val="24"/>
          <w:szCs w:val="24"/>
          <w:rtl/>
        </w:rPr>
        <w:t xml:space="preserve"> </w:t>
      </w:r>
      <w:r w:rsidR="00D644AB" w:rsidRPr="00950BE5">
        <w:rPr>
          <w:rFonts w:ascii="Alef" w:hAnsi="Alef" w:cs="Alef" w:hint="cs"/>
          <w:sz w:val="24"/>
          <w:szCs w:val="24"/>
          <w:rtl/>
        </w:rPr>
        <w:t>יובהר, כי כללים אלו מהווים עדכון לכללים שפורסמו במסמך העקרונות מיום 3.1.</w:t>
      </w:r>
      <w:r w:rsidR="00C6757D">
        <w:rPr>
          <w:rFonts w:ascii="Alef" w:hAnsi="Alef" w:cs="Alef" w:hint="cs"/>
          <w:sz w:val="24"/>
          <w:szCs w:val="24"/>
          <w:rtl/>
        </w:rPr>
        <w:t>20</w:t>
      </w:r>
      <w:r w:rsidR="00D644AB" w:rsidRPr="00950BE5">
        <w:rPr>
          <w:rFonts w:ascii="Alef" w:hAnsi="Alef" w:cs="Alef" w:hint="cs"/>
          <w:sz w:val="24"/>
          <w:szCs w:val="24"/>
          <w:rtl/>
        </w:rPr>
        <w:t>19, בהמשך להודעת השימוע שפרסמה הרשות מיום 15.1.</w:t>
      </w:r>
      <w:r w:rsidR="003377BF">
        <w:rPr>
          <w:rFonts w:ascii="Alef" w:hAnsi="Alef" w:cs="Alef" w:hint="cs"/>
          <w:sz w:val="24"/>
          <w:szCs w:val="24"/>
          <w:rtl/>
        </w:rPr>
        <w:t>20</w:t>
      </w:r>
      <w:r w:rsidR="00D644AB" w:rsidRPr="00950BE5">
        <w:rPr>
          <w:rFonts w:ascii="Alef" w:hAnsi="Alef" w:cs="Alef" w:hint="cs"/>
          <w:sz w:val="24"/>
          <w:szCs w:val="24"/>
          <w:rtl/>
        </w:rPr>
        <w:t xml:space="preserve">20. </w:t>
      </w:r>
      <w:r w:rsidRPr="00950BE5">
        <w:rPr>
          <w:rFonts w:ascii="Alef" w:hAnsi="Alef" w:cs="Alef"/>
          <w:sz w:val="24"/>
          <w:szCs w:val="24"/>
          <w:rtl/>
        </w:rPr>
        <w:lastRenderedPageBreak/>
        <w:t xml:space="preserve">ייעוצה של הרשות בהתאם לכללים אלו יהיה נתון לשינויים וזאת בכפוף לכמות המתמודדים בהליך התחרותי. לאמור – אם ייווצר מיעוט של משתתפים בהליך התחרותי למכירת </w:t>
      </w:r>
      <w:r w:rsidR="009E009C" w:rsidRPr="00950BE5">
        <w:rPr>
          <w:rFonts w:ascii="Alef" w:hAnsi="Alef" w:cs="Alef" w:hint="cs"/>
          <w:sz w:val="24"/>
          <w:szCs w:val="24"/>
          <w:rtl/>
        </w:rPr>
        <w:t>אתר ייצור</w:t>
      </w:r>
      <w:r w:rsidRPr="00950BE5">
        <w:rPr>
          <w:rFonts w:ascii="Alef" w:hAnsi="Alef" w:cs="Alef"/>
          <w:sz w:val="24"/>
          <w:szCs w:val="24"/>
          <w:rtl/>
        </w:rPr>
        <w:t>, עשויים העקרונות הרשומים מטה להידחות בפני הצורך לאפשר גישה לשחקנים רבים יותר. בהתאם, אין בכללים האמורים בכדי למנוע מגורמים שונים, אף אם זכו בהליכים לרכישת מתקנים קודמים, לגשת לשלבי המיון המוקדמים בהליך התחרותי. כמו כן יהיו העקרונות הרשומים מטה נתונים לשינויים במקרה של שינוי נסיבות</w:t>
      </w:r>
      <w:r w:rsidR="00885E7A" w:rsidRPr="00950BE5">
        <w:rPr>
          <w:rFonts w:ascii="Alef" w:hAnsi="Alef" w:cs="Alef" w:hint="cs"/>
          <w:sz w:val="24"/>
          <w:szCs w:val="24"/>
          <w:rtl/>
        </w:rPr>
        <w:t xml:space="preserve"> או במקרה של נסיבות פרטניות ייחודיות</w:t>
      </w:r>
      <w:r w:rsidR="00736998" w:rsidRPr="00950BE5">
        <w:rPr>
          <w:rFonts w:ascii="Alef" w:hAnsi="Alef" w:cs="Alef" w:hint="cs"/>
          <w:sz w:val="24"/>
          <w:szCs w:val="24"/>
          <w:rtl/>
        </w:rPr>
        <w:t xml:space="preserve"> לכל הליך תחרותי</w:t>
      </w:r>
      <w:r w:rsidRPr="00950BE5">
        <w:rPr>
          <w:rFonts w:ascii="Alef" w:hAnsi="Alef" w:cs="Alef"/>
          <w:sz w:val="24"/>
          <w:szCs w:val="24"/>
          <w:rtl/>
        </w:rPr>
        <w:t xml:space="preserve">. </w:t>
      </w:r>
    </w:p>
    <w:p w14:paraId="4E83A124" w14:textId="0A26CDFB" w:rsidR="004C7C11" w:rsidRPr="00950BE5" w:rsidRDefault="004C7C11" w:rsidP="00950BE5">
      <w:pPr>
        <w:pStyle w:val="ListParagraph"/>
        <w:numPr>
          <w:ilvl w:val="0"/>
          <w:numId w:val="4"/>
        </w:numPr>
        <w:spacing w:after="120" w:line="276" w:lineRule="auto"/>
        <w:jc w:val="both"/>
        <w:rPr>
          <w:rFonts w:ascii="Alef" w:hAnsi="Alef" w:cs="Alef"/>
          <w:sz w:val="24"/>
          <w:szCs w:val="24"/>
        </w:rPr>
      </w:pPr>
      <w:r w:rsidRPr="00950BE5">
        <w:rPr>
          <w:rFonts w:ascii="Alef" w:hAnsi="Alef" w:cs="Alef"/>
          <w:sz w:val="24"/>
          <w:szCs w:val="24"/>
          <w:rtl/>
        </w:rPr>
        <w:t>לא יחזיק אדם</w:t>
      </w:r>
      <w:r w:rsidRPr="00950BE5">
        <w:rPr>
          <w:rStyle w:val="FootnoteReference"/>
          <w:rFonts w:ascii="Alef" w:hAnsi="Alef" w:cs="Alef"/>
          <w:sz w:val="24"/>
          <w:szCs w:val="24"/>
          <w:rtl/>
        </w:rPr>
        <w:footnoteReference w:id="15"/>
      </w:r>
      <w:r w:rsidRPr="00950BE5">
        <w:rPr>
          <w:rStyle w:val="FootnoteReference"/>
          <w:rFonts w:ascii="Alef" w:hAnsi="Alef" w:cs="Alef"/>
          <w:sz w:val="24"/>
          <w:szCs w:val="24"/>
          <w:rtl/>
        </w:rPr>
        <w:t xml:space="preserve"> </w:t>
      </w:r>
      <w:r w:rsidRPr="00950BE5">
        <w:rPr>
          <w:rFonts w:ascii="Alef" w:hAnsi="Alef" w:cs="Alef"/>
          <w:sz w:val="24"/>
          <w:szCs w:val="24"/>
          <w:rtl/>
        </w:rPr>
        <w:t xml:space="preserve"> זכויות בתחנות ליצור חשמל</w:t>
      </w:r>
      <w:r w:rsidRPr="00950BE5">
        <w:rPr>
          <w:rStyle w:val="FootnoteReference"/>
          <w:rFonts w:ascii="Alef" w:hAnsi="Alef" w:cs="Alef"/>
          <w:sz w:val="24"/>
          <w:szCs w:val="24"/>
          <w:rtl/>
        </w:rPr>
        <w:footnoteReference w:id="16"/>
      </w:r>
      <w:r w:rsidRPr="00950BE5">
        <w:rPr>
          <w:rFonts w:ascii="Alef" w:hAnsi="Alef" w:cs="Alef"/>
          <w:sz w:val="24"/>
          <w:szCs w:val="24"/>
          <w:rtl/>
        </w:rPr>
        <w:t xml:space="preserve"> בהיקף העולה על 20% מסך ההספק המותקן המתוכנן ביום מכירת כל אתרי הייצור הנמכרים.</w:t>
      </w:r>
      <w:r w:rsidRPr="00950BE5">
        <w:rPr>
          <w:rStyle w:val="FootnoteReference"/>
          <w:rFonts w:ascii="Alef" w:hAnsi="Alef" w:cs="Alef"/>
          <w:sz w:val="24"/>
          <w:szCs w:val="24"/>
          <w:rtl/>
        </w:rPr>
        <w:footnoteReference w:id="17"/>
      </w:r>
      <w:r w:rsidRPr="00950BE5">
        <w:rPr>
          <w:rFonts w:ascii="Alef" w:hAnsi="Alef" w:cs="Alef"/>
          <w:sz w:val="24"/>
          <w:szCs w:val="24"/>
          <w:rtl/>
        </w:rPr>
        <w:t xml:space="preserve"> </w:t>
      </w:r>
    </w:p>
    <w:p w14:paraId="5CAF92C1" w14:textId="7A89827D" w:rsidR="0008023B" w:rsidRPr="00950BE5" w:rsidRDefault="004C7C11" w:rsidP="00950BE5">
      <w:pPr>
        <w:pStyle w:val="ListParagraph"/>
        <w:numPr>
          <w:ilvl w:val="0"/>
          <w:numId w:val="4"/>
        </w:numPr>
        <w:spacing w:after="120" w:line="276" w:lineRule="auto"/>
        <w:jc w:val="both"/>
        <w:rPr>
          <w:rFonts w:ascii="Alef" w:hAnsi="Alef" w:cs="Alef"/>
          <w:sz w:val="24"/>
          <w:szCs w:val="24"/>
          <w:rtl/>
        </w:rPr>
      </w:pPr>
      <w:r w:rsidRPr="00950BE5">
        <w:rPr>
          <w:rFonts w:ascii="Alef" w:hAnsi="Alef" w:cs="Alef"/>
          <w:sz w:val="24"/>
          <w:szCs w:val="24"/>
          <w:rtl/>
        </w:rPr>
        <w:t>לא יזכה אדם בעל חזקה בזכות למיזם נפט</w:t>
      </w:r>
      <w:r w:rsidRPr="00950BE5">
        <w:rPr>
          <w:rStyle w:val="FootnoteReference"/>
          <w:rFonts w:ascii="Alef" w:hAnsi="Alef" w:cs="Alef"/>
          <w:sz w:val="24"/>
          <w:szCs w:val="24"/>
          <w:rtl/>
        </w:rPr>
        <w:footnoteReference w:id="18"/>
      </w:r>
      <w:r w:rsidRPr="00950BE5">
        <w:rPr>
          <w:rFonts w:ascii="Alef" w:hAnsi="Alef" w:cs="Alef"/>
          <w:sz w:val="24"/>
          <w:szCs w:val="24"/>
          <w:rtl/>
        </w:rPr>
        <w:t xml:space="preserve"> באתר מאתרי הייצור הנמכרים.</w:t>
      </w:r>
    </w:p>
    <w:sectPr w:rsidR="0008023B" w:rsidRPr="00950BE5" w:rsidSect="00427E2B">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A7148" w14:textId="77777777" w:rsidR="00B474DB" w:rsidRDefault="00B474DB" w:rsidP="00D74B48">
      <w:pPr>
        <w:spacing w:after="0" w:line="240" w:lineRule="auto"/>
      </w:pPr>
      <w:r>
        <w:separator/>
      </w:r>
    </w:p>
  </w:endnote>
  <w:endnote w:type="continuationSeparator" w:id="0">
    <w:p w14:paraId="35B3FF7F" w14:textId="77777777" w:rsidR="00B474DB" w:rsidRDefault="00B474DB" w:rsidP="00D74B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lef">
    <w:altName w:val="Courier New"/>
    <w:charset w:val="00"/>
    <w:family w:val="auto"/>
    <w:pitch w:val="variable"/>
    <w:sig w:usb0="00000000"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06067" w14:textId="77777777" w:rsidR="009E5DB8" w:rsidRDefault="00664183" w:rsidP="00AD3572">
    <w:pPr>
      <w:pStyle w:val="Footer"/>
    </w:pPr>
    <w:r>
      <w:rPr>
        <w:noProof/>
      </w:rPr>
      <w:drawing>
        <wp:anchor distT="0" distB="0" distL="114300" distR="114300" simplePos="0" relativeHeight="251661312" behindDoc="1" locked="0" layoutInCell="1" allowOverlap="1" wp14:anchorId="1FA7C184" wp14:editId="01B7AB9D">
          <wp:simplePos x="0" y="0"/>
          <wp:positionH relativeFrom="page">
            <wp:align>right</wp:align>
          </wp:positionH>
          <wp:positionV relativeFrom="bottomMargin">
            <wp:posOffset>215661</wp:posOffset>
          </wp:positionV>
          <wp:extent cx="7548113" cy="933086"/>
          <wp:effectExtent l="0" t="0" r="0" b="635"/>
          <wp:wrapNone/>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דף פירמה חדש להדפסה - עברית ואנגלית-04-0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48113" cy="933086"/>
                  </a:xfrm>
                  <a:prstGeom prst="rect">
                    <a:avLst/>
                  </a:prstGeom>
                </pic:spPr>
              </pic:pic>
            </a:graphicData>
          </a:graphic>
          <wp14:sizeRelH relativeFrom="page">
            <wp14:pctWidth>0</wp14:pctWidth>
          </wp14:sizeRelH>
          <wp14:sizeRelV relativeFrom="page">
            <wp14:pctHeight>0</wp14:pctHeight>
          </wp14:sizeRelV>
        </wp:anchor>
      </w:drawing>
    </w:r>
  </w:p>
  <w:p w14:paraId="2B1F2D74" w14:textId="77777777" w:rsidR="009E5DB8" w:rsidRDefault="009E5DB8" w:rsidP="00AD3572">
    <w:pPr>
      <w:pStyle w:val="Footer"/>
    </w:pPr>
  </w:p>
  <w:p w14:paraId="661F9367" w14:textId="77777777" w:rsidR="009E5DB8" w:rsidRDefault="009E5DB8" w:rsidP="00AD3572">
    <w:pPr>
      <w:pStyle w:val="Footer"/>
    </w:pPr>
  </w:p>
  <w:p w14:paraId="6466D592" w14:textId="77777777" w:rsidR="009E78A7" w:rsidRDefault="009E78A7" w:rsidP="00AD35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BB3C32" w14:textId="77777777" w:rsidR="00B474DB" w:rsidRDefault="00B474DB" w:rsidP="00D74B48">
      <w:pPr>
        <w:spacing w:after="0" w:line="240" w:lineRule="auto"/>
      </w:pPr>
      <w:r>
        <w:separator/>
      </w:r>
    </w:p>
  </w:footnote>
  <w:footnote w:type="continuationSeparator" w:id="0">
    <w:p w14:paraId="493BF01A" w14:textId="77777777" w:rsidR="00B474DB" w:rsidRDefault="00B474DB" w:rsidP="00D74B48">
      <w:pPr>
        <w:spacing w:after="0" w:line="240" w:lineRule="auto"/>
      </w:pPr>
      <w:r>
        <w:continuationSeparator/>
      </w:r>
    </w:p>
  </w:footnote>
  <w:footnote w:id="1">
    <w:p w14:paraId="7E3F6486" w14:textId="582EE7F1" w:rsidR="004C7C11" w:rsidRPr="00950BE5" w:rsidRDefault="004C7C11" w:rsidP="00761107">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החלטת הממשלה</w:t>
      </w:r>
      <w:r w:rsidR="00B22098" w:rsidRPr="00950BE5">
        <w:rPr>
          <w:rFonts w:ascii="Alef" w:hAnsi="Alef" w:cs="Alef"/>
          <w:sz w:val="18"/>
          <w:szCs w:val="18"/>
          <w:rtl/>
        </w:rPr>
        <w:t>. ראו</w:t>
      </w:r>
      <w:r w:rsidRPr="00950BE5">
        <w:rPr>
          <w:rFonts w:ascii="Alef" w:hAnsi="Alef" w:cs="Alef"/>
          <w:sz w:val="18"/>
          <w:szCs w:val="18"/>
          <w:rtl/>
        </w:rPr>
        <w:t xml:space="preserve">: </w:t>
      </w:r>
      <w:hyperlink r:id="rId1" w:history="1">
        <w:r w:rsidRPr="00950BE5">
          <w:rPr>
            <w:rStyle w:val="Hyperlink"/>
            <w:rFonts w:ascii="Alef" w:hAnsi="Alef" w:cs="Alef"/>
            <w:sz w:val="18"/>
            <w:szCs w:val="18"/>
          </w:rPr>
          <w:t>https://www.gov.il/he/Departments/policies/dec3859_2018</w:t>
        </w:r>
      </w:hyperlink>
    </w:p>
  </w:footnote>
  <w:footnote w:id="2">
    <w:p w14:paraId="19EB5893" w14:textId="178FFF9C" w:rsidR="00A6371D" w:rsidRPr="00950BE5" w:rsidRDefault="00A6371D" w:rsidP="00950BE5">
      <w:pPr>
        <w:pStyle w:val="FootnoteText"/>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w:t>
      </w:r>
      <w:r w:rsidR="008F581A" w:rsidRPr="00950BE5">
        <w:rPr>
          <w:rFonts w:ascii="Alef" w:hAnsi="Alef" w:cs="Alef"/>
          <w:sz w:val="18"/>
          <w:szCs w:val="18"/>
          <w:rtl/>
        </w:rPr>
        <w:t>עדכון מסמך עקרונות לייעוץ לתחרות ענפית במכירת אתרי הייצור</w:t>
      </w:r>
      <w:r w:rsidR="00950BE5" w:rsidRPr="00950BE5">
        <w:rPr>
          <w:rFonts w:ascii="Alef" w:hAnsi="Alef" w:cs="Alef"/>
          <w:sz w:val="18"/>
          <w:szCs w:val="18"/>
          <w:rtl/>
        </w:rPr>
        <w:t>,</w:t>
      </w:r>
      <w:r w:rsidR="008F581A" w:rsidRPr="00950BE5">
        <w:rPr>
          <w:rFonts w:ascii="Alef" w:hAnsi="Alef" w:cs="Alef"/>
          <w:sz w:val="18"/>
          <w:szCs w:val="18"/>
          <w:rtl/>
        </w:rPr>
        <w:t xml:space="preserve"> רשות התחרות</w:t>
      </w:r>
      <w:r w:rsidR="00950BE5" w:rsidRPr="00950BE5">
        <w:rPr>
          <w:rFonts w:ascii="Alef" w:hAnsi="Alef" w:cs="Alef"/>
          <w:sz w:val="18"/>
          <w:szCs w:val="18"/>
          <w:rtl/>
        </w:rPr>
        <w:t xml:space="preserve"> (3.1.19)</w:t>
      </w:r>
      <w:r w:rsidR="008F581A" w:rsidRPr="00950BE5">
        <w:rPr>
          <w:rFonts w:ascii="Alef" w:hAnsi="Alef" w:cs="Alef"/>
          <w:sz w:val="18"/>
          <w:szCs w:val="18"/>
          <w:rtl/>
        </w:rPr>
        <w:t xml:space="preserve">. </w:t>
      </w:r>
      <w:r w:rsidRPr="00950BE5">
        <w:rPr>
          <w:rFonts w:ascii="Alef" w:hAnsi="Alef" w:cs="Alef"/>
          <w:sz w:val="18"/>
          <w:szCs w:val="18"/>
          <w:rtl/>
        </w:rPr>
        <w:t xml:space="preserve">ראו: </w:t>
      </w:r>
    </w:p>
    <w:p w14:paraId="0C5AA2D9" w14:textId="025FE42D" w:rsidR="00A6371D" w:rsidRPr="00950BE5" w:rsidRDefault="00B474DB">
      <w:pPr>
        <w:pStyle w:val="FootnoteText"/>
        <w:rPr>
          <w:rFonts w:ascii="Alef" w:hAnsi="Alef" w:cs="Alef"/>
          <w:sz w:val="18"/>
          <w:szCs w:val="18"/>
        </w:rPr>
      </w:pPr>
      <w:hyperlink r:id="rId2" w:history="1">
        <w:r w:rsidR="00A6371D" w:rsidRPr="00950BE5">
          <w:rPr>
            <w:rStyle w:val="Hyperlink"/>
            <w:rFonts w:ascii="Alef" w:hAnsi="Alef" w:cs="Alef"/>
            <w:sz w:val="18"/>
            <w:szCs w:val="18"/>
          </w:rPr>
          <w:t>https://www.gov.il/he/Departments/policies/statement-electricity</w:t>
        </w:r>
      </w:hyperlink>
    </w:p>
  </w:footnote>
  <w:footnote w:id="3">
    <w:p w14:paraId="6A824847" w14:textId="0FFAFF2E" w:rsidR="00A6371D" w:rsidRPr="00950BE5" w:rsidRDefault="00A6371D" w:rsidP="00950BE5">
      <w:pPr>
        <w:pStyle w:val="FootnoteText"/>
        <w:rPr>
          <w:rFonts w:ascii="Alef" w:hAnsi="Alef" w:cs="Alef"/>
          <w:sz w:val="18"/>
          <w:szCs w:val="18"/>
        </w:rPr>
      </w:pPr>
      <w:r w:rsidRPr="00950BE5">
        <w:rPr>
          <w:rStyle w:val="FootnoteReference"/>
          <w:rFonts w:ascii="Alef" w:hAnsi="Alef" w:cs="Alef"/>
          <w:sz w:val="18"/>
          <w:szCs w:val="18"/>
        </w:rPr>
        <w:footnoteRef/>
      </w:r>
      <w:r w:rsidRPr="00950BE5">
        <w:rPr>
          <w:rFonts w:ascii="Alef" w:hAnsi="Alef" w:cs="Alef"/>
          <w:sz w:val="18"/>
          <w:szCs w:val="18"/>
          <w:rtl/>
        </w:rPr>
        <w:t xml:space="preserve"> </w:t>
      </w:r>
      <w:r w:rsidR="008F581A" w:rsidRPr="00950BE5">
        <w:rPr>
          <w:rFonts w:ascii="Alef" w:hAnsi="Alef" w:cs="Alef"/>
          <w:sz w:val="18"/>
          <w:szCs w:val="18"/>
          <w:rtl/>
        </w:rPr>
        <w:t>הצעה לשינוי מסמך העקרונות לייעוץ לתחרות ענפית במכירת אתרי הייצור של חברת החשמל - הליך שימוע ציבורי</w:t>
      </w:r>
      <w:r w:rsidR="00950BE5" w:rsidRPr="00950BE5">
        <w:rPr>
          <w:rFonts w:ascii="Alef" w:hAnsi="Alef" w:cs="Alef"/>
          <w:sz w:val="18"/>
          <w:szCs w:val="18"/>
          <w:rtl/>
        </w:rPr>
        <w:t>,</w:t>
      </w:r>
      <w:r w:rsidR="008F581A" w:rsidRPr="00950BE5">
        <w:rPr>
          <w:rFonts w:ascii="Alef" w:hAnsi="Alef" w:cs="Alef"/>
          <w:sz w:val="18"/>
          <w:szCs w:val="18"/>
          <w:rtl/>
        </w:rPr>
        <w:t xml:space="preserve"> </w:t>
      </w:r>
      <w:r w:rsidR="00950BE5" w:rsidRPr="00950BE5">
        <w:rPr>
          <w:rFonts w:ascii="Alef" w:hAnsi="Alef" w:cs="Alef"/>
          <w:sz w:val="18"/>
          <w:szCs w:val="18"/>
          <w:rtl/>
        </w:rPr>
        <w:t xml:space="preserve"> </w:t>
      </w:r>
      <w:r w:rsidR="008F581A" w:rsidRPr="00950BE5">
        <w:rPr>
          <w:rFonts w:ascii="Alef" w:hAnsi="Alef" w:cs="Alef"/>
          <w:sz w:val="18"/>
          <w:szCs w:val="18"/>
          <w:rtl/>
        </w:rPr>
        <w:t>רשות התחרות</w:t>
      </w:r>
      <w:r w:rsidR="00950BE5" w:rsidRPr="00950BE5">
        <w:rPr>
          <w:rFonts w:ascii="Alef" w:hAnsi="Alef" w:cs="Alef"/>
          <w:sz w:val="18"/>
          <w:szCs w:val="18"/>
          <w:rtl/>
        </w:rPr>
        <w:t xml:space="preserve"> (15.1.20)</w:t>
      </w:r>
      <w:r w:rsidR="008F581A" w:rsidRPr="00950BE5">
        <w:rPr>
          <w:rFonts w:ascii="Alef" w:hAnsi="Alef" w:cs="Alef"/>
          <w:sz w:val="18"/>
          <w:szCs w:val="18"/>
          <w:rtl/>
        </w:rPr>
        <w:t xml:space="preserve">. </w:t>
      </w:r>
      <w:r w:rsidRPr="00950BE5">
        <w:rPr>
          <w:rFonts w:ascii="Alef" w:hAnsi="Alef" w:cs="Alef"/>
          <w:sz w:val="18"/>
          <w:szCs w:val="18"/>
          <w:rtl/>
        </w:rPr>
        <w:t>ראו:</w:t>
      </w:r>
      <w:r w:rsidR="00761107" w:rsidRPr="00950BE5">
        <w:rPr>
          <w:rFonts w:ascii="Alef" w:hAnsi="Alef" w:cs="Alef"/>
          <w:sz w:val="18"/>
          <w:szCs w:val="18"/>
          <w:rtl/>
        </w:rPr>
        <w:t xml:space="preserve"> </w:t>
      </w:r>
      <w:hyperlink r:id="rId3" w:history="1">
        <w:r w:rsidRPr="00950BE5">
          <w:rPr>
            <w:rStyle w:val="Hyperlink"/>
            <w:rFonts w:ascii="Alef" w:hAnsi="Alef" w:cs="Alef"/>
            <w:sz w:val="18"/>
            <w:szCs w:val="18"/>
          </w:rPr>
          <w:t>https://www.gov.il/he/Departments/legalInfo/opiniondirec-consultelect</w:t>
        </w:r>
      </w:hyperlink>
    </w:p>
  </w:footnote>
  <w:footnote w:id="4">
    <w:p w14:paraId="61005540" w14:textId="0DB8DEA5" w:rsidR="004C7C11" w:rsidRPr="00950BE5" w:rsidRDefault="004C7C11" w:rsidP="00DC3CC5">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חברת החשמל הוכרזה כבעלת מונופולין במקטעי אספקת חשמל – ייצור חשמל ומכירתו, הולכת חשמל וחלוקתו, וכן במתן גיבוי לצרכני חשמל ויצרניו - הכרזה בדבר קיום מונופולין – חברת החשמל לישראל בע"מ (5.1.99) </w:t>
      </w:r>
      <w:r w:rsidRPr="00950BE5">
        <w:rPr>
          <w:rFonts w:ascii="Alef" w:hAnsi="Alef" w:cs="Alef"/>
          <w:b/>
          <w:bCs/>
          <w:sz w:val="18"/>
          <w:szCs w:val="18"/>
          <w:rtl/>
        </w:rPr>
        <w:t>תחרות</w:t>
      </w:r>
      <w:r w:rsidRPr="00950BE5">
        <w:rPr>
          <w:rFonts w:ascii="Alef" w:hAnsi="Alef" w:cs="Alef"/>
          <w:sz w:val="18"/>
          <w:szCs w:val="18"/>
          <w:rtl/>
        </w:rPr>
        <w:t xml:space="preserve"> 3001749.</w:t>
      </w:r>
    </w:p>
  </w:footnote>
  <w:footnote w:id="5">
    <w:p w14:paraId="64D370A8" w14:textId="5D9073C9" w:rsidR="002B6D76" w:rsidRPr="00950BE5" w:rsidRDefault="002B6D76" w:rsidP="00B03163">
      <w:pPr>
        <w:pStyle w:val="FootnoteText"/>
        <w:rPr>
          <w:rFonts w:ascii="Alef" w:hAnsi="Alef" w:cs="Alef"/>
          <w:sz w:val="18"/>
          <w:szCs w:val="18"/>
        </w:rPr>
      </w:pPr>
      <w:r w:rsidRPr="00950BE5">
        <w:rPr>
          <w:rStyle w:val="FootnoteReference"/>
          <w:rFonts w:ascii="Alef" w:hAnsi="Alef" w:cs="Alef"/>
          <w:sz w:val="18"/>
          <w:szCs w:val="18"/>
        </w:rPr>
        <w:footnoteRef/>
      </w:r>
      <w:r w:rsidRPr="00950BE5">
        <w:rPr>
          <w:rFonts w:ascii="Alef" w:hAnsi="Alef" w:cs="Alef"/>
          <w:sz w:val="18"/>
          <w:szCs w:val="18"/>
          <w:rtl/>
        </w:rPr>
        <w:t xml:space="preserve"> </w:t>
      </w:r>
      <w:r w:rsidR="00917C01" w:rsidRPr="00950BE5">
        <w:rPr>
          <w:rFonts w:ascii="Alef" w:hAnsi="Alef" w:cs="Alef"/>
          <w:sz w:val="18"/>
          <w:szCs w:val="18"/>
          <w:rtl/>
        </w:rPr>
        <w:t>אתר</w:t>
      </w:r>
      <w:r w:rsidRPr="00950BE5">
        <w:rPr>
          <w:rFonts w:ascii="Alef" w:hAnsi="Alef" w:cs="Alef"/>
          <w:sz w:val="18"/>
          <w:szCs w:val="18"/>
          <w:rtl/>
        </w:rPr>
        <w:t xml:space="preserve"> אלון תבור </w:t>
      </w:r>
      <w:r w:rsidR="00917C01" w:rsidRPr="00950BE5">
        <w:rPr>
          <w:rFonts w:ascii="Alef" w:hAnsi="Alef" w:cs="Alef"/>
          <w:sz w:val="18"/>
          <w:szCs w:val="18"/>
          <w:rtl/>
        </w:rPr>
        <w:t>כולל יחידת ייצור</w:t>
      </w:r>
      <w:r w:rsidRPr="00950BE5">
        <w:rPr>
          <w:rFonts w:ascii="Alef" w:hAnsi="Alef" w:cs="Alef"/>
          <w:sz w:val="18"/>
          <w:szCs w:val="18"/>
          <w:rtl/>
        </w:rPr>
        <w:t xml:space="preserve"> בעלת הספק מותקן של 583 מגוו</w:t>
      </w:r>
      <w:r w:rsidR="00B03163">
        <w:rPr>
          <w:rFonts w:ascii="Alef" w:hAnsi="Alef" w:cs="Alef" w:hint="cs"/>
          <w:sz w:val="18"/>
          <w:szCs w:val="18"/>
          <w:rtl/>
        </w:rPr>
        <w:t>א</w:t>
      </w:r>
      <w:r w:rsidRPr="00950BE5">
        <w:rPr>
          <w:rFonts w:ascii="Alef" w:hAnsi="Alef" w:cs="Alef"/>
          <w:sz w:val="18"/>
          <w:szCs w:val="18"/>
          <w:rtl/>
        </w:rPr>
        <w:t xml:space="preserve">ט. במסגרת ההליך התחרותי למכירת </w:t>
      </w:r>
      <w:r w:rsidR="00917C01" w:rsidRPr="00950BE5">
        <w:rPr>
          <w:rFonts w:ascii="Alef" w:hAnsi="Alef" w:cs="Alef"/>
          <w:sz w:val="18"/>
          <w:szCs w:val="18"/>
          <w:rtl/>
        </w:rPr>
        <w:t>אתר</w:t>
      </w:r>
      <w:r w:rsidRPr="00950BE5">
        <w:rPr>
          <w:rFonts w:ascii="Alef" w:hAnsi="Alef" w:cs="Alef"/>
          <w:sz w:val="18"/>
          <w:szCs w:val="18"/>
          <w:rtl/>
        </w:rPr>
        <w:t xml:space="preserve"> אלון תבור, ניתנה אופציה לזוכה להקמת יחידת ייצור נוספת בהספק מותקן של 230 מגוו</w:t>
      </w:r>
      <w:r w:rsidR="00B03163">
        <w:rPr>
          <w:rFonts w:ascii="Alef" w:hAnsi="Alef" w:cs="Alef" w:hint="cs"/>
          <w:sz w:val="18"/>
          <w:szCs w:val="18"/>
          <w:rtl/>
        </w:rPr>
        <w:t>א</w:t>
      </w:r>
      <w:r w:rsidRPr="00950BE5">
        <w:rPr>
          <w:rFonts w:ascii="Alef" w:hAnsi="Alef" w:cs="Alef"/>
          <w:sz w:val="18"/>
          <w:szCs w:val="18"/>
          <w:rtl/>
        </w:rPr>
        <w:t xml:space="preserve">ט נוספים. </w:t>
      </w:r>
    </w:p>
  </w:footnote>
  <w:footnote w:id="6">
    <w:p w14:paraId="1E95D944" w14:textId="7C043ACD" w:rsidR="002B6D76" w:rsidRPr="00950BE5" w:rsidRDefault="002B6D76" w:rsidP="00B03163">
      <w:pPr>
        <w:pStyle w:val="FootnoteText"/>
        <w:rPr>
          <w:rFonts w:ascii="Alef" w:hAnsi="Alef" w:cs="Alef"/>
          <w:sz w:val="18"/>
          <w:szCs w:val="18"/>
        </w:rPr>
      </w:pPr>
      <w:r w:rsidRPr="00950BE5">
        <w:rPr>
          <w:rStyle w:val="FootnoteReference"/>
          <w:rFonts w:ascii="Alef" w:hAnsi="Alef" w:cs="Alef"/>
          <w:sz w:val="18"/>
          <w:szCs w:val="18"/>
        </w:rPr>
        <w:footnoteRef/>
      </w:r>
      <w:r w:rsidRPr="00950BE5">
        <w:rPr>
          <w:rFonts w:ascii="Alef" w:hAnsi="Alef" w:cs="Alef"/>
          <w:sz w:val="18"/>
          <w:szCs w:val="18"/>
          <w:rtl/>
        </w:rPr>
        <w:t xml:space="preserve"> </w:t>
      </w:r>
      <w:r w:rsidR="00917C01" w:rsidRPr="00950BE5">
        <w:rPr>
          <w:rFonts w:ascii="Alef" w:hAnsi="Alef" w:cs="Alef"/>
          <w:sz w:val="18"/>
          <w:szCs w:val="18"/>
          <w:rtl/>
        </w:rPr>
        <w:t>אתר</w:t>
      </w:r>
      <w:r w:rsidRPr="00950BE5">
        <w:rPr>
          <w:rFonts w:ascii="Alef" w:hAnsi="Alef" w:cs="Alef"/>
          <w:sz w:val="18"/>
          <w:szCs w:val="18"/>
          <w:rtl/>
        </w:rPr>
        <w:t xml:space="preserve"> רמת חובב </w:t>
      </w:r>
      <w:r w:rsidR="00917C01" w:rsidRPr="00950BE5">
        <w:rPr>
          <w:rFonts w:ascii="Alef" w:hAnsi="Alef" w:cs="Alef"/>
          <w:sz w:val="18"/>
          <w:szCs w:val="18"/>
          <w:rtl/>
        </w:rPr>
        <w:t>כולל יחידת ייצור</w:t>
      </w:r>
      <w:r w:rsidRPr="00950BE5">
        <w:rPr>
          <w:rFonts w:ascii="Alef" w:hAnsi="Alef" w:cs="Alef"/>
          <w:sz w:val="18"/>
          <w:szCs w:val="18"/>
          <w:rtl/>
        </w:rPr>
        <w:t xml:space="preserve"> בעלת הספק מותקן של 1,137 מגוו</w:t>
      </w:r>
      <w:r w:rsidR="00B03163">
        <w:rPr>
          <w:rFonts w:ascii="Alef" w:hAnsi="Alef" w:cs="Alef" w:hint="cs"/>
          <w:sz w:val="18"/>
          <w:szCs w:val="18"/>
          <w:rtl/>
        </w:rPr>
        <w:t>א</w:t>
      </w:r>
      <w:r w:rsidRPr="00950BE5">
        <w:rPr>
          <w:rFonts w:ascii="Alef" w:hAnsi="Alef" w:cs="Alef"/>
          <w:sz w:val="18"/>
          <w:szCs w:val="18"/>
          <w:rtl/>
        </w:rPr>
        <w:t>ט.</w:t>
      </w:r>
    </w:p>
  </w:footnote>
  <w:footnote w:id="7">
    <w:p w14:paraId="75BCBF52" w14:textId="77777777" w:rsidR="004C7C11" w:rsidRPr="00950BE5" w:rsidRDefault="004C7C11" w:rsidP="00DC3CC5">
      <w:pPr>
        <w:pStyle w:val="FootnoteText"/>
        <w:jc w:val="both"/>
        <w:rPr>
          <w:rFonts w:ascii="Alef" w:hAnsi="Alef" w:cs="Alef"/>
          <w:sz w:val="18"/>
          <w:szCs w:val="18"/>
        </w:rPr>
      </w:pPr>
      <w:r w:rsidRPr="00950BE5">
        <w:rPr>
          <w:rStyle w:val="FootnoteReference"/>
          <w:rFonts w:ascii="Alef" w:hAnsi="Alef" w:cs="Alef"/>
          <w:sz w:val="18"/>
          <w:szCs w:val="18"/>
        </w:rPr>
        <w:footnoteRef/>
      </w:r>
      <w:r w:rsidRPr="00950BE5">
        <w:rPr>
          <w:rFonts w:ascii="Alef" w:hAnsi="Alef" w:cs="Alef"/>
          <w:sz w:val="18"/>
          <w:szCs w:val="18"/>
          <w:rtl/>
        </w:rPr>
        <w:t xml:space="preserve"> כקבוע בהחלטת הממשלה; ראו </w:t>
      </w:r>
      <w:proofErr w:type="spellStart"/>
      <w:r w:rsidRPr="00950BE5">
        <w:rPr>
          <w:rFonts w:ascii="Alef" w:hAnsi="Alef" w:cs="Alef"/>
          <w:sz w:val="18"/>
          <w:szCs w:val="18"/>
          <w:rtl/>
        </w:rPr>
        <w:t>ה"ש</w:t>
      </w:r>
      <w:proofErr w:type="spellEnd"/>
      <w:r w:rsidRPr="00950BE5">
        <w:rPr>
          <w:rFonts w:ascii="Alef" w:hAnsi="Alef" w:cs="Alef"/>
          <w:sz w:val="18"/>
          <w:szCs w:val="18"/>
          <w:rtl/>
        </w:rPr>
        <w:t xml:space="preserve"> 1.</w:t>
      </w:r>
    </w:p>
  </w:footnote>
  <w:footnote w:id="8">
    <w:p w14:paraId="6036AD61" w14:textId="77777777" w:rsidR="00950BE5" w:rsidRPr="00950BE5" w:rsidRDefault="004C7C11" w:rsidP="00950BE5">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החלטת רשות החשמל מס' 1 (1284) מישיבה 547 מיום 3.9.2018, ראו</w:t>
      </w:r>
      <w:r w:rsidR="00C64684" w:rsidRPr="00950BE5">
        <w:rPr>
          <w:rFonts w:ascii="Alef" w:hAnsi="Alef" w:cs="Alef"/>
          <w:sz w:val="18"/>
          <w:szCs w:val="18"/>
          <w:rtl/>
        </w:rPr>
        <w:t>:</w:t>
      </w:r>
    </w:p>
    <w:p w14:paraId="7D98D306" w14:textId="76C0DEF7" w:rsidR="004C7C11" w:rsidRPr="00950BE5" w:rsidRDefault="004C7C11" w:rsidP="00950BE5">
      <w:pPr>
        <w:pStyle w:val="FootnoteText"/>
        <w:jc w:val="both"/>
        <w:rPr>
          <w:rFonts w:ascii="Alef" w:hAnsi="Alef" w:cs="Alef"/>
          <w:sz w:val="18"/>
          <w:szCs w:val="18"/>
          <w:rtl/>
        </w:rPr>
      </w:pPr>
      <w:r w:rsidRPr="00950BE5">
        <w:rPr>
          <w:rFonts w:ascii="Alef" w:hAnsi="Alef" w:cs="Alef"/>
          <w:sz w:val="18"/>
          <w:szCs w:val="18"/>
          <w:rtl/>
        </w:rPr>
        <w:t xml:space="preserve"> </w:t>
      </w:r>
      <w:hyperlink r:id="rId4" w:history="1">
        <w:r w:rsidRPr="00950BE5">
          <w:rPr>
            <w:rStyle w:val="Hyperlink"/>
            <w:rFonts w:ascii="Alef" w:hAnsi="Alef" w:cs="Alef"/>
            <w:sz w:val="18"/>
            <w:szCs w:val="18"/>
          </w:rPr>
          <w:t>https://pua.gov.il/decisions/documents/1284nnn.pdf</w:t>
        </w:r>
      </w:hyperlink>
    </w:p>
    <w:p w14:paraId="35FB187D" w14:textId="77777777" w:rsidR="00950BE5" w:rsidRPr="00950BE5" w:rsidRDefault="00C773BF" w:rsidP="00950BE5">
      <w:pPr>
        <w:pStyle w:val="FootnoteText"/>
        <w:jc w:val="both"/>
        <w:rPr>
          <w:rFonts w:ascii="Alef" w:hAnsi="Alef" w:cs="Alef"/>
          <w:sz w:val="18"/>
          <w:szCs w:val="18"/>
          <w:rtl/>
        </w:rPr>
      </w:pPr>
      <w:r w:rsidRPr="00950BE5">
        <w:rPr>
          <w:rFonts w:ascii="Alef" w:hAnsi="Alef" w:cs="Alef"/>
          <w:sz w:val="18"/>
          <w:szCs w:val="18"/>
          <w:rtl/>
        </w:rPr>
        <w:t>החלטת רשות החשמל מס' 1 (1310) מישיבה 552 מיום 2.12.2018, ראו:</w:t>
      </w:r>
    </w:p>
    <w:p w14:paraId="242CDFC5" w14:textId="0130535F" w:rsidR="00C773BF" w:rsidRPr="00950BE5" w:rsidRDefault="00B474DB" w:rsidP="00950BE5">
      <w:pPr>
        <w:pStyle w:val="FootnoteText"/>
        <w:jc w:val="both"/>
        <w:rPr>
          <w:rFonts w:ascii="Alef" w:hAnsi="Alef" w:cs="Alef"/>
          <w:sz w:val="18"/>
          <w:szCs w:val="18"/>
          <w:rtl/>
        </w:rPr>
      </w:pPr>
      <w:hyperlink r:id="rId5" w:history="1">
        <w:r w:rsidR="00C773BF" w:rsidRPr="00950BE5">
          <w:rPr>
            <w:rStyle w:val="Hyperlink"/>
            <w:rFonts w:ascii="Alef" w:hAnsi="Alef" w:cs="Alef"/>
            <w:sz w:val="18"/>
            <w:szCs w:val="18"/>
          </w:rPr>
          <w:t>https://pua.gov.il/decisions/documents/1910_nnn.pdf</w:t>
        </w:r>
      </w:hyperlink>
    </w:p>
    <w:p w14:paraId="203F66F6" w14:textId="77777777" w:rsidR="00950BE5" w:rsidRPr="00950BE5" w:rsidRDefault="00C773BF" w:rsidP="00950BE5">
      <w:pPr>
        <w:pStyle w:val="FootnoteText"/>
        <w:jc w:val="both"/>
        <w:rPr>
          <w:rFonts w:ascii="Alef" w:hAnsi="Alef" w:cs="Alef"/>
          <w:sz w:val="18"/>
          <w:szCs w:val="18"/>
          <w:rtl/>
        </w:rPr>
      </w:pPr>
      <w:r w:rsidRPr="00950BE5">
        <w:rPr>
          <w:rFonts w:ascii="Alef" w:hAnsi="Alef" w:cs="Alef"/>
          <w:sz w:val="18"/>
          <w:szCs w:val="18"/>
          <w:rtl/>
        </w:rPr>
        <w:t>החלטת רשות החשמל מס' 11 (57211) מישיבה 572 מיום 23.12.2019, ראו:</w:t>
      </w:r>
    </w:p>
    <w:p w14:paraId="7023142E" w14:textId="4D35B3CC" w:rsidR="00C773BF" w:rsidRPr="00950BE5" w:rsidRDefault="00B474DB" w:rsidP="00950BE5">
      <w:pPr>
        <w:pStyle w:val="FootnoteText"/>
        <w:jc w:val="both"/>
        <w:rPr>
          <w:rFonts w:ascii="Alef" w:hAnsi="Alef" w:cs="Alef"/>
          <w:sz w:val="18"/>
          <w:szCs w:val="18"/>
          <w:rtl/>
        </w:rPr>
      </w:pPr>
      <w:hyperlink r:id="rId6" w:history="1">
        <w:r w:rsidR="00C773BF" w:rsidRPr="00950BE5">
          <w:rPr>
            <w:rStyle w:val="Hyperlink"/>
            <w:rFonts w:ascii="Alef" w:hAnsi="Alef" w:cs="Alef"/>
            <w:sz w:val="18"/>
            <w:szCs w:val="18"/>
          </w:rPr>
          <w:t>https://pua.gov.il/decisions/documents/57211.pdf</w:t>
        </w:r>
      </w:hyperlink>
    </w:p>
  </w:footnote>
  <w:footnote w:id="9">
    <w:p w14:paraId="6AE47A20" w14:textId="5BFFF97B" w:rsidR="004C7C11" w:rsidRPr="00950BE5" w:rsidRDefault="004C7C11" w:rsidP="00DC3CC5">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כהגדרתה בהחלטה מס' 1 (914) להסדרת המשך </w:t>
      </w:r>
      <w:proofErr w:type="spellStart"/>
      <w:r w:rsidRPr="00950BE5">
        <w:rPr>
          <w:rFonts w:ascii="Alef" w:hAnsi="Alef" w:cs="Alef"/>
          <w:sz w:val="18"/>
          <w:szCs w:val="18"/>
          <w:rtl/>
        </w:rPr>
        <w:t>תעריפית</w:t>
      </w:r>
      <w:proofErr w:type="spellEnd"/>
      <w:r w:rsidRPr="00950BE5">
        <w:rPr>
          <w:rFonts w:ascii="Alef" w:hAnsi="Alef" w:cs="Alef"/>
          <w:sz w:val="18"/>
          <w:szCs w:val="18"/>
          <w:rtl/>
        </w:rPr>
        <w:t xml:space="preserve"> ליצרני חשמל</w:t>
      </w:r>
      <w:r w:rsidR="00B03163">
        <w:rPr>
          <w:rFonts w:ascii="Alef" w:hAnsi="Alef" w:cs="Alef"/>
          <w:sz w:val="18"/>
          <w:szCs w:val="18"/>
          <w:rtl/>
        </w:rPr>
        <w:t xml:space="preserve"> קונבנציונליים פרטיים מעל 16 מג</w:t>
      </w:r>
      <w:r w:rsidRPr="00950BE5">
        <w:rPr>
          <w:rFonts w:ascii="Alef" w:hAnsi="Alef" w:cs="Alef"/>
          <w:sz w:val="18"/>
          <w:szCs w:val="18"/>
          <w:rtl/>
        </w:rPr>
        <w:t>ו</w:t>
      </w:r>
      <w:r w:rsidR="00B03163">
        <w:rPr>
          <w:rFonts w:ascii="Alef" w:hAnsi="Alef" w:cs="Alef" w:hint="cs"/>
          <w:sz w:val="18"/>
          <w:szCs w:val="18"/>
          <w:rtl/>
        </w:rPr>
        <w:t>ו</w:t>
      </w:r>
      <w:r w:rsidRPr="00950BE5">
        <w:rPr>
          <w:rFonts w:ascii="Alef" w:hAnsi="Alef" w:cs="Alef"/>
          <w:sz w:val="18"/>
          <w:szCs w:val="18"/>
          <w:rtl/>
        </w:rPr>
        <w:t>אט ולמספקים פרטיים.</w:t>
      </w:r>
    </w:p>
  </w:footnote>
  <w:footnote w:id="10">
    <w:p w14:paraId="5A2DFBA9" w14:textId="77777777" w:rsidR="004C7C11" w:rsidRPr="00950BE5" w:rsidRDefault="004C7C11" w:rsidP="00DC3CC5">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כיום מרבית החשמל מיוצר במתקנים קונבנציונליים ומתקני </w:t>
      </w:r>
      <w:proofErr w:type="spellStart"/>
      <w:r w:rsidRPr="00950BE5">
        <w:rPr>
          <w:rFonts w:ascii="Alef" w:hAnsi="Alef" w:cs="Alef"/>
          <w:sz w:val="18"/>
          <w:szCs w:val="18"/>
          <w:rtl/>
        </w:rPr>
        <w:t>קוגנרציה</w:t>
      </w:r>
      <w:proofErr w:type="spellEnd"/>
      <w:r w:rsidRPr="00950BE5">
        <w:rPr>
          <w:rStyle w:val="CommentReference"/>
          <w:rFonts w:ascii="Alef" w:hAnsi="Alef" w:cs="Alef"/>
          <w:sz w:val="18"/>
          <w:szCs w:val="18"/>
          <w:rtl/>
        </w:rPr>
        <w:t>. ע</w:t>
      </w:r>
      <w:r w:rsidRPr="00950BE5">
        <w:rPr>
          <w:rFonts w:ascii="Alef" w:hAnsi="Alef" w:cs="Alef"/>
          <w:sz w:val="18"/>
          <w:szCs w:val="18"/>
          <w:rtl/>
        </w:rPr>
        <w:t xml:space="preserve">ל כן, מסמך זה תקף רק לגבי ההספק המיוצר במתקנים אלו. ככל שמצב זה ישתנה בעתיד מסמך זה עשוי להשתנות בהתאם. </w:t>
      </w:r>
    </w:p>
  </w:footnote>
  <w:footnote w:id="11">
    <w:p w14:paraId="311C5ABC" w14:textId="77777777" w:rsidR="004C7C11" w:rsidRPr="00950BE5" w:rsidRDefault="004C7C11" w:rsidP="00DC3CC5">
      <w:pPr>
        <w:pStyle w:val="FootnoteText"/>
        <w:jc w:val="both"/>
        <w:rPr>
          <w:rFonts w:ascii="Alef" w:hAnsi="Alef" w:cs="Alef"/>
          <w:sz w:val="18"/>
          <w:szCs w:val="18"/>
        </w:rPr>
      </w:pPr>
      <w:r w:rsidRPr="00950BE5">
        <w:rPr>
          <w:rStyle w:val="FootnoteReference"/>
          <w:rFonts w:ascii="Alef" w:hAnsi="Alef" w:cs="Alef"/>
          <w:sz w:val="18"/>
          <w:szCs w:val="18"/>
        </w:rPr>
        <w:footnoteRef/>
      </w:r>
      <w:r w:rsidRPr="00950BE5">
        <w:rPr>
          <w:rFonts w:ascii="Alef" w:hAnsi="Alef" w:cs="Alef"/>
          <w:sz w:val="18"/>
          <w:szCs w:val="18"/>
          <w:rtl/>
        </w:rPr>
        <w:t xml:space="preserve"> לדוגמה, משק החשמל בניו זילנד, </w:t>
      </w:r>
      <w:r w:rsidRPr="00950BE5">
        <w:rPr>
          <w:rFonts w:ascii="Alef" w:hAnsi="Alef" w:cs="Alef"/>
          <w:sz w:val="18"/>
          <w:szCs w:val="18"/>
        </w:rPr>
        <w:t>https://www.ea.govt.nz</w:t>
      </w:r>
      <w:r w:rsidRPr="00950BE5">
        <w:rPr>
          <w:rFonts w:ascii="Alef" w:hAnsi="Alef" w:cs="Alef"/>
          <w:sz w:val="18"/>
          <w:szCs w:val="18"/>
          <w:rtl/>
        </w:rPr>
        <w:t>/.</w:t>
      </w:r>
    </w:p>
  </w:footnote>
  <w:footnote w:id="12">
    <w:p w14:paraId="27D1BE0F" w14:textId="77777777" w:rsidR="004C7C11" w:rsidRPr="00950BE5" w:rsidRDefault="004C7C11" w:rsidP="00B22098">
      <w:pPr>
        <w:pStyle w:val="FootnoteText"/>
        <w:jc w:val="both"/>
        <w:rPr>
          <w:rFonts w:ascii="Alef" w:hAnsi="Alef" w:cs="Alef"/>
          <w:sz w:val="18"/>
          <w:szCs w:val="18"/>
        </w:rPr>
      </w:pPr>
      <w:r w:rsidRPr="00950BE5">
        <w:rPr>
          <w:rStyle w:val="FootnoteReference"/>
          <w:rFonts w:ascii="Alef" w:hAnsi="Alef" w:cs="Alef"/>
          <w:sz w:val="18"/>
          <w:szCs w:val="18"/>
        </w:rPr>
        <w:footnoteRef/>
      </w:r>
      <w:r w:rsidRPr="00950BE5">
        <w:rPr>
          <w:rFonts w:ascii="Alef" w:hAnsi="Alef" w:cs="Alef"/>
          <w:sz w:val="18"/>
          <w:szCs w:val="18"/>
          <w:rtl/>
        </w:rPr>
        <w:t xml:space="preserve"> במכרז למכירת המתקן ב</w:t>
      </w:r>
      <w:r w:rsidR="00917C01" w:rsidRPr="00950BE5">
        <w:rPr>
          <w:rFonts w:ascii="Alef" w:hAnsi="Alef" w:cs="Alef"/>
          <w:sz w:val="18"/>
          <w:szCs w:val="18"/>
          <w:rtl/>
        </w:rPr>
        <w:t xml:space="preserve">אתר </w:t>
      </w:r>
      <w:r w:rsidRPr="00950BE5">
        <w:rPr>
          <w:rFonts w:ascii="Alef" w:hAnsi="Alef" w:cs="Alef"/>
          <w:sz w:val="18"/>
          <w:szCs w:val="18"/>
          <w:rtl/>
        </w:rPr>
        <w:t>אלון תבור עברו את שלב המיון המוקדם 8 קבוצות והתמודדו במכרז עצמו 7 קבוצות.</w:t>
      </w:r>
    </w:p>
  </w:footnote>
  <w:footnote w:id="13">
    <w:p w14:paraId="3474FE2C" w14:textId="77777777" w:rsidR="004C7C11" w:rsidRPr="00950BE5" w:rsidRDefault="004C7C11" w:rsidP="00DC3CC5">
      <w:pPr>
        <w:pStyle w:val="FootnoteText"/>
        <w:jc w:val="both"/>
        <w:rPr>
          <w:rFonts w:ascii="Alef" w:hAnsi="Alef" w:cs="Alef"/>
          <w:sz w:val="18"/>
          <w:szCs w:val="18"/>
        </w:rPr>
      </w:pPr>
      <w:r w:rsidRPr="00950BE5">
        <w:rPr>
          <w:rStyle w:val="FootnoteReference"/>
          <w:rFonts w:ascii="Alef" w:hAnsi="Alef" w:cs="Alef"/>
          <w:sz w:val="18"/>
          <w:szCs w:val="18"/>
        </w:rPr>
        <w:footnoteRef/>
      </w:r>
      <w:r w:rsidRPr="00950BE5">
        <w:rPr>
          <w:rFonts w:ascii="Alef" w:hAnsi="Alef" w:cs="Alef"/>
          <w:sz w:val="18"/>
          <w:szCs w:val="18"/>
          <w:rtl/>
        </w:rPr>
        <w:t xml:space="preserve"> אחזקה במאגר גז טבעי – אחזקה בזכות למיזם נפט כהגדרתה בחוק מיסוי רווחים ממשאבי טבע, תשע"א-2011</w:t>
      </w:r>
    </w:p>
  </w:footnote>
  <w:footnote w:id="14">
    <w:p w14:paraId="0747A4B8" w14:textId="3617ECAD" w:rsidR="004C7C11" w:rsidRPr="00950BE5" w:rsidRDefault="004C7C11" w:rsidP="00DC3CC5">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מתוקף סמכותה לפי סעיף 11 לחוק לקידום התחרות ולצמצום הריכוזיות, התשע"ד-2014 וזאת מבלי לגרוע מזכויותיה ומחובותיה לייעץ לפי החוק לקידום התחרות ולצמצום הריכוזיות, התשע"ד-2014 במתן רישיון לפי חוק משק החשמל, תשנ"ו-1996 או באישור העברת שליטה בו ומבלי לגרוע מסמכויותיה לפי חוק התחרות הכלכלית, התשמ"ח-1988.</w:t>
      </w:r>
    </w:p>
  </w:footnote>
  <w:footnote w:id="15">
    <w:p w14:paraId="20696E5B" w14:textId="77777777" w:rsidR="004C7C11" w:rsidRPr="00950BE5" w:rsidRDefault="004C7C11" w:rsidP="00DC3CC5">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בשיעור של 5% לפחות. אדם – לרבות תאגיד וכל אדם קשור אליו.</w:t>
      </w:r>
      <w:r w:rsidRPr="00950BE5">
        <w:rPr>
          <w:rFonts w:ascii="Alef" w:hAnsi="Alef" w:cs="Alef"/>
          <w:sz w:val="18"/>
          <w:szCs w:val="18"/>
        </w:rPr>
        <w:t xml:space="preserve"> </w:t>
      </w:r>
      <w:r w:rsidRPr="00950BE5">
        <w:rPr>
          <w:rFonts w:ascii="Alef" w:hAnsi="Alef" w:cs="Alef"/>
          <w:sz w:val="18"/>
          <w:szCs w:val="18"/>
          <w:rtl/>
        </w:rPr>
        <w:t>אדם קשור – כהגדרתו בהחלטת ממשלה 476 מיום 16.8.2015.</w:t>
      </w:r>
    </w:p>
  </w:footnote>
  <w:footnote w:id="16">
    <w:p w14:paraId="07BB6F88" w14:textId="77777777" w:rsidR="004C7C11" w:rsidRPr="00950BE5" w:rsidRDefault="004C7C11" w:rsidP="00DC3CC5">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זכות – זכות לרישיון ייצור חשמל כהגדרתו בחוק משק החשמל, תשנ"ו-1996, לרבות רישיונות מותנים לפי תקנות משק החשמל (</w:t>
      </w:r>
      <w:proofErr w:type="spellStart"/>
      <w:r w:rsidRPr="00950BE5">
        <w:rPr>
          <w:rFonts w:ascii="Alef" w:hAnsi="Alef" w:cs="Alef"/>
          <w:sz w:val="18"/>
          <w:szCs w:val="18"/>
          <w:rtl/>
        </w:rPr>
        <w:t>קוגנרציה</w:t>
      </w:r>
      <w:proofErr w:type="spellEnd"/>
      <w:r w:rsidRPr="00950BE5">
        <w:rPr>
          <w:rFonts w:ascii="Alef" w:hAnsi="Alef" w:cs="Alef"/>
          <w:sz w:val="18"/>
          <w:szCs w:val="18"/>
          <w:rtl/>
        </w:rPr>
        <w:t>), התשס"ה-2004 ותקנות משק החשמל (יצרן חשמל פרטי קונבנציונלי), התשס"ה-2005.</w:t>
      </w:r>
    </w:p>
  </w:footnote>
  <w:footnote w:id="17">
    <w:p w14:paraId="3CB2590C" w14:textId="5A6C7689" w:rsidR="004C7C11" w:rsidRPr="00950BE5" w:rsidRDefault="004C7C11" w:rsidP="00B03163">
      <w:pPr>
        <w:pStyle w:val="FootnoteText"/>
        <w:jc w:val="both"/>
        <w:rPr>
          <w:rFonts w:ascii="Alef" w:hAnsi="Alef" w:cs="Alef"/>
          <w:sz w:val="18"/>
          <w:szCs w:val="18"/>
        </w:rPr>
      </w:pPr>
      <w:r w:rsidRPr="00950BE5">
        <w:rPr>
          <w:rStyle w:val="FootnoteReference"/>
          <w:rFonts w:ascii="Alef" w:hAnsi="Alef" w:cs="Alef"/>
          <w:sz w:val="18"/>
          <w:szCs w:val="18"/>
        </w:rPr>
        <w:footnoteRef/>
      </w:r>
      <w:r w:rsidRPr="00950BE5">
        <w:rPr>
          <w:rFonts w:ascii="Alef" w:hAnsi="Alef" w:cs="Alef"/>
          <w:sz w:val="18"/>
          <w:szCs w:val="18"/>
          <w:rtl/>
        </w:rPr>
        <w:t xml:space="preserve"> ההספק המותקן המתוכנן - ההספק לתחנות לייצור חשמל בטכנולוגית </w:t>
      </w:r>
      <w:proofErr w:type="spellStart"/>
      <w:r w:rsidRPr="00950BE5">
        <w:rPr>
          <w:rFonts w:ascii="Alef" w:hAnsi="Alef" w:cs="Alef"/>
          <w:sz w:val="18"/>
          <w:szCs w:val="18"/>
          <w:rtl/>
        </w:rPr>
        <w:t>קוגנרציה</w:t>
      </w:r>
      <w:proofErr w:type="spellEnd"/>
      <w:r w:rsidRPr="00950BE5">
        <w:rPr>
          <w:rFonts w:ascii="Alef" w:hAnsi="Alef" w:cs="Alef"/>
          <w:sz w:val="18"/>
          <w:szCs w:val="18"/>
          <w:rtl/>
        </w:rPr>
        <w:t xml:space="preserve"> וקונבנציונאלית, ללא תלות באסדרה החלה על התחנה, בהתאם לפרסום של רשות החשמל, למעט ההספק שבידי חברת החשמל, נכון ליום מכירת כל אתרי הייצור הנמכרים; יום מכירת כל אתרי הייצור הנמכרים - 3 ביוני 2023 או יום מכירת כל חמשת אתרי הייצור הנמכרים. סך ההספק במועד זה צפוי לעמוד על כ-10,500 מגוואט.</w:t>
      </w:r>
    </w:p>
  </w:footnote>
  <w:footnote w:id="18">
    <w:p w14:paraId="210EF462" w14:textId="77777777" w:rsidR="004C7C11" w:rsidRPr="00950BE5" w:rsidRDefault="004C7C11" w:rsidP="00A0169D">
      <w:pPr>
        <w:pStyle w:val="FootnoteText"/>
        <w:jc w:val="both"/>
        <w:rPr>
          <w:rFonts w:ascii="Alef" w:hAnsi="Alef" w:cs="Alef"/>
          <w:sz w:val="18"/>
          <w:szCs w:val="18"/>
          <w:rtl/>
        </w:rPr>
      </w:pPr>
      <w:r w:rsidRPr="00950BE5">
        <w:rPr>
          <w:rStyle w:val="FootnoteReference"/>
          <w:rFonts w:ascii="Alef" w:hAnsi="Alef" w:cs="Alef"/>
          <w:sz w:val="18"/>
          <w:szCs w:val="18"/>
        </w:rPr>
        <w:footnoteRef/>
      </w:r>
      <w:r w:rsidRPr="00950BE5">
        <w:rPr>
          <w:rFonts w:ascii="Alef" w:hAnsi="Alef" w:cs="Alef"/>
          <w:sz w:val="18"/>
          <w:szCs w:val="18"/>
          <w:rtl/>
        </w:rPr>
        <w:t xml:space="preserve"> כהגדרתה בחוק מיסוי רווחים ממשאבי טבע, תשע"א-2011.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B0743" w14:textId="77777777" w:rsidR="00880E48" w:rsidRDefault="001E11F9" w:rsidP="00374F0F">
    <w:pPr>
      <w:pStyle w:val="Header"/>
      <w:rPr>
        <w:noProof/>
      </w:rPr>
    </w:pPr>
    <w:r>
      <w:rPr>
        <w:noProof/>
        <w:rtl/>
      </w:rPr>
      <w:drawing>
        <wp:anchor distT="0" distB="0" distL="114300" distR="114300" simplePos="0" relativeHeight="251660288" behindDoc="1" locked="0" layoutInCell="1" allowOverlap="1" wp14:anchorId="4EBC41DE" wp14:editId="2737B858">
          <wp:simplePos x="0" y="0"/>
          <wp:positionH relativeFrom="page">
            <wp:posOffset>-742777</wp:posOffset>
          </wp:positionH>
          <wp:positionV relativeFrom="page">
            <wp:align>top</wp:align>
          </wp:positionV>
          <wp:extent cx="8307153" cy="1472540"/>
          <wp:effectExtent l="0" t="0" r="0" b="0"/>
          <wp:wrapSquare wrapText="bothSides"/>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דף פירמה חדש להדפסה - עברית ואנגלית-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307153" cy="14725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C97CF2"/>
    <w:multiLevelType w:val="hybridMultilevel"/>
    <w:tmpl w:val="A16C269E"/>
    <w:lvl w:ilvl="0" w:tplc="AF7A87F8">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FD46DE"/>
    <w:multiLevelType w:val="hybridMultilevel"/>
    <w:tmpl w:val="E188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08B3CFE"/>
    <w:multiLevelType w:val="hybridMultilevel"/>
    <w:tmpl w:val="FEF005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05615C5"/>
    <w:multiLevelType w:val="multilevel"/>
    <w:tmpl w:val="65E09CAC"/>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1A23CD1"/>
    <w:multiLevelType w:val="hybridMultilevel"/>
    <w:tmpl w:val="A39646A2"/>
    <w:lvl w:ilvl="0" w:tplc="09405B18">
      <w:start w:val="1"/>
      <w:numFmt w:val="decimal"/>
      <w:lvlText w:val="%1)"/>
      <w:lvlJc w:val="left"/>
      <w:pPr>
        <w:ind w:left="785" w:hanging="360"/>
      </w:pPr>
      <w:rPr>
        <w:rFonts w:asciiTheme="minorHAnsi" w:eastAsiaTheme="minorHAnsi" w:hAnsiTheme="minorHAnsi" w:cs="David"/>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B48"/>
    <w:rsid w:val="00053D0A"/>
    <w:rsid w:val="00061DCA"/>
    <w:rsid w:val="00066DE4"/>
    <w:rsid w:val="0008023B"/>
    <w:rsid w:val="00092322"/>
    <w:rsid w:val="000D22D0"/>
    <w:rsid w:val="00120CD6"/>
    <w:rsid w:val="001A3286"/>
    <w:rsid w:val="001B1530"/>
    <w:rsid w:val="001E11F9"/>
    <w:rsid w:val="001E14C3"/>
    <w:rsid w:val="001F4ACF"/>
    <w:rsid w:val="002159B9"/>
    <w:rsid w:val="00226C91"/>
    <w:rsid w:val="00286315"/>
    <w:rsid w:val="00296CA7"/>
    <w:rsid w:val="002B6D76"/>
    <w:rsid w:val="002C18BA"/>
    <w:rsid w:val="002D7E26"/>
    <w:rsid w:val="00333F81"/>
    <w:rsid w:val="003377BF"/>
    <w:rsid w:val="00374F0F"/>
    <w:rsid w:val="003A1781"/>
    <w:rsid w:val="003C4940"/>
    <w:rsid w:val="003E7832"/>
    <w:rsid w:val="00401A70"/>
    <w:rsid w:val="00427E2B"/>
    <w:rsid w:val="00467737"/>
    <w:rsid w:val="0047637F"/>
    <w:rsid w:val="004A42CB"/>
    <w:rsid w:val="004C7C11"/>
    <w:rsid w:val="00505647"/>
    <w:rsid w:val="00546D12"/>
    <w:rsid w:val="0056284C"/>
    <w:rsid w:val="0059323E"/>
    <w:rsid w:val="005A456C"/>
    <w:rsid w:val="005E24B9"/>
    <w:rsid w:val="005E7085"/>
    <w:rsid w:val="0064017F"/>
    <w:rsid w:val="00664183"/>
    <w:rsid w:val="00665D88"/>
    <w:rsid w:val="00692D3C"/>
    <w:rsid w:val="00692D6D"/>
    <w:rsid w:val="00697D96"/>
    <w:rsid w:val="006A2400"/>
    <w:rsid w:val="006C2B0D"/>
    <w:rsid w:val="006F72B4"/>
    <w:rsid w:val="00736998"/>
    <w:rsid w:val="00761107"/>
    <w:rsid w:val="007A269A"/>
    <w:rsid w:val="007C694A"/>
    <w:rsid w:val="007F0CCB"/>
    <w:rsid w:val="00874DCA"/>
    <w:rsid w:val="00880E48"/>
    <w:rsid w:val="00885E7A"/>
    <w:rsid w:val="008955CB"/>
    <w:rsid w:val="008F581A"/>
    <w:rsid w:val="00917C01"/>
    <w:rsid w:val="00926326"/>
    <w:rsid w:val="00927915"/>
    <w:rsid w:val="009508FA"/>
    <w:rsid w:val="00950BE5"/>
    <w:rsid w:val="00972C07"/>
    <w:rsid w:val="009E009C"/>
    <w:rsid w:val="009E43C1"/>
    <w:rsid w:val="009E5DB8"/>
    <w:rsid w:val="009E78A7"/>
    <w:rsid w:val="009F2EAD"/>
    <w:rsid w:val="00A0169D"/>
    <w:rsid w:val="00A52425"/>
    <w:rsid w:val="00A6371D"/>
    <w:rsid w:val="00A6788A"/>
    <w:rsid w:val="00AC1963"/>
    <w:rsid w:val="00AD3572"/>
    <w:rsid w:val="00AD4391"/>
    <w:rsid w:val="00AD7482"/>
    <w:rsid w:val="00B03163"/>
    <w:rsid w:val="00B22098"/>
    <w:rsid w:val="00B474DB"/>
    <w:rsid w:val="00BC3742"/>
    <w:rsid w:val="00C275C8"/>
    <w:rsid w:val="00C64684"/>
    <w:rsid w:val="00C6757D"/>
    <w:rsid w:val="00C72B6E"/>
    <w:rsid w:val="00C7392B"/>
    <w:rsid w:val="00C773BF"/>
    <w:rsid w:val="00CC1B58"/>
    <w:rsid w:val="00CC732E"/>
    <w:rsid w:val="00CD521A"/>
    <w:rsid w:val="00CE41F4"/>
    <w:rsid w:val="00D1086A"/>
    <w:rsid w:val="00D644AB"/>
    <w:rsid w:val="00D74B48"/>
    <w:rsid w:val="00DC3CC5"/>
    <w:rsid w:val="00DF5A55"/>
    <w:rsid w:val="00E55678"/>
    <w:rsid w:val="00E56E77"/>
    <w:rsid w:val="00E673BD"/>
    <w:rsid w:val="00E800B9"/>
    <w:rsid w:val="00E9219E"/>
    <w:rsid w:val="00EB300D"/>
    <w:rsid w:val="00EC1D13"/>
    <w:rsid w:val="00EC2AF1"/>
    <w:rsid w:val="00F20761"/>
    <w:rsid w:val="00F2249A"/>
    <w:rsid w:val="00F816F7"/>
    <w:rsid w:val="00F87DD8"/>
    <w:rsid w:val="00FC6638"/>
    <w:rsid w:val="00FE402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100921"/>
  <w15:chartTrackingRefBased/>
  <w15:docId w15:val="{4281012F-617F-47A4-B584-5339E4CD4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637F"/>
    <w:pPr>
      <w:bidi/>
    </w:pPr>
  </w:style>
  <w:style w:type="paragraph" w:styleId="Heading1">
    <w:name w:val="heading 1"/>
    <w:basedOn w:val="Normal"/>
    <w:next w:val="Normal"/>
    <w:link w:val="Heading1Char"/>
    <w:uiPriority w:val="9"/>
    <w:qFormat/>
    <w:rsid w:val="004C7C11"/>
    <w:pPr>
      <w:keepNext/>
      <w:keepLines/>
      <w:numPr>
        <w:numId w:val="3"/>
      </w:numPr>
      <w:spacing w:after="240" w:line="360" w:lineRule="auto"/>
      <w:jc w:val="both"/>
      <w:outlineLvl w:val="0"/>
    </w:pPr>
    <w:rPr>
      <w:rFonts w:asciiTheme="majorHAnsi" w:eastAsiaTheme="majorEastAsia" w:hAnsiTheme="majorHAnsi" w:cs="David"/>
      <w:b/>
      <w:bCs/>
      <w:sz w:val="24"/>
      <w:szCs w:val="24"/>
    </w:rPr>
  </w:style>
  <w:style w:type="paragraph" w:styleId="Heading2">
    <w:name w:val="heading 2"/>
    <w:basedOn w:val="Normal"/>
    <w:next w:val="Normal"/>
    <w:link w:val="Heading2Char"/>
    <w:uiPriority w:val="9"/>
    <w:unhideWhenUsed/>
    <w:qFormat/>
    <w:rsid w:val="004C7C11"/>
    <w:pPr>
      <w:numPr>
        <w:ilvl w:val="1"/>
        <w:numId w:val="3"/>
      </w:numPr>
      <w:spacing w:after="240" w:line="360" w:lineRule="auto"/>
      <w:contextualSpacing/>
      <w:jc w:val="both"/>
      <w:outlineLvl w:val="1"/>
    </w:pPr>
    <w:rPr>
      <w:rFonts w:ascii="Times New Roman" w:eastAsia="Times New Roman" w:hAnsi="Times New Roman" w:cs="David"/>
      <w:b/>
      <w:bCs/>
      <w:sz w:val="24"/>
      <w:szCs w:val="24"/>
      <w:lang w:eastAsia="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4B48"/>
    <w:pPr>
      <w:tabs>
        <w:tab w:val="center" w:pos="4153"/>
        <w:tab w:val="right" w:pos="8306"/>
      </w:tabs>
      <w:spacing w:after="0" w:line="240" w:lineRule="auto"/>
    </w:pPr>
  </w:style>
  <w:style w:type="character" w:customStyle="1" w:styleId="HeaderChar">
    <w:name w:val="Header Char"/>
    <w:basedOn w:val="DefaultParagraphFont"/>
    <w:link w:val="Header"/>
    <w:uiPriority w:val="99"/>
    <w:rsid w:val="00D74B48"/>
  </w:style>
  <w:style w:type="paragraph" w:styleId="Footer">
    <w:name w:val="footer"/>
    <w:basedOn w:val="Normal"/>
    <w:link w:val="FooterChar"/>
    <w:uiPriority w:val="99"/>
    <w:unhideWhenUsed/>
    <w:rsid w:val="00D74B48"/>
    <w:pPr>
      <w:tabs>
        <w:tab w:val="center" w:pos="4153"/>
        <w:tab w:val="right" w:pos="8306"/>
      </w:tabs>
      <w:spacing w:after="0" w:line="240" w:lineRule="auto"/>
    </w:pPr>
  </w:style>
  <w:style w:type="character" w:customStyle="1" w:styleId="FooterChar">
    <w:name w:val="Footer Char"/>
    <w:basedOn w:val="DefaultParagraphFont"/>
    <w:link w:val="Footer"/>
    <w:uiPriority w:val="99"/>
    <w:rsid w:val="00D74B48"/>
  </w:style>
  <w:style w:type="paragraph" w:styleId="NoSpacing">
    <w:name w:val="No Spacing"/>
    <w:uiPriority w:val="1"/>
    <w:qFormat/>
    <w:rsid w:val="00C7392B"/>
    <w:pPr>
      <w:bidi/>
      <w:spacing w:after="0" w:line="240" w:lineRule="auto"/>
      <w:jc w:val="both"/>
    </w:pPr>
    <w:rPr>
      <w:rFonts w:ascii="Times New Roman" w:eastAsia="Times New Roman" w:hAnsi="Times New Roman" w:cs="David"/>
      <w:sz w:val="24"/>
      <w:szCs w:val="24"/>
      <w:lang w:eastAsia="he-IL"/>
    </w:rPr>
  </w:style>
  <w:style w:type="paragraph" w:styleId="BalloonText">
    <w:name w:val="Balloon Text"/>
    <w:basedOn w:val="Normal"/>
    <w:link w:val="BalloonTextChar"/>
    <w:uiPriority w:val="99"/>
    <w:semiHidden/>
    <w:unhideWhenUsed/>
    <w:rsid w:val="00C7392B"/>
    <w:pPr>
      <w:spacing w:after="0" w:line="240" w:lineRule="auto"/>
    </w:pPr>
    <w:rPr>
      <w:rFonts w:ascii="Tahoma" w:hAnsi="Tahoma" w:cs="Tahoma"/>
      <w:sz w:val="18"/>
      <w:szCs w:val="18"/>
    </w:rPr>
  </w:style>
  <w:style w:type="character" w:customStyle="1" w:styleId="BalloonTextChar">
    <w:name w:val="Balloon Text Char"/>
    <w:basedOn w:val="DefaultParagraphFont"/>
    <w:link w:val="BalloonText"/>
    <w:uiPriority w:val="99"/>
    <w:semiHidden/>
    <w:rsid w:val="00C7392B"/>
    <w:rPr>
      <w:rFonts w:ascii="Tahoma" w:hAnsi="Tahoma" w:cs="Tahoma"/>
      <w:sz w:val="18"/>
      <w:szCs w:val="18"/>
    </w:rPr>
  </w:style>
  <w:style w:type="character" w:customStyle="1" w:styleId="Heading1Char">
    <w:name w:val="Heading 1 Char"/>
    <w:basedOn w:val="DefaultParagraphFont"/>
    <w:link w:val="Heading1"/>
    <w:uiPriority w:val="9"/>
    <w:rsid w:val="004C7C11"/>
    <w:rPr>
      <w:rFonts w:asciiTheme="majorHAnsi" w:eastAsiaTheme="majorEastAsia" w:hAnsiTheme="majorHAnsi" w:cs="David"/>
      <w:b/>
      <w:bCs/>
      <w:sz w:val="24"/>
      <w:szCs w:val="24"/>
    </w:rPr>
  </w:style>
  <w:style w:type="character" w:customStyle="1" w:styleId="Heading2Char">
    <w:name w:val="Heading 2 Char"/>
    <w:basedOn w:val="DefaultParagraphFont"/>
    <w:link w:val="Heading2"/>
    <w:uiPriority w:val="9"/>
    <w:rsid w:val="004C7C11"/>
    <w:rPr>
      <w:rFonts w:ascii="Times New Roman" w:eastAsia="Times New Roman" w:hAnsi="Times New Roman" w:cs="David"/>
      <w:b/>
      <w:bCs/>
      <w:sz w:val="24"/>
      <w:szCs w:val="24"/>
      <w:lang w:eastAsia="he-IL"/>
    </w:rPr>
  </w:style>
  <w:style w:type="paragraph" w:styleId="FootnoteText">
    <w:name w:val="footnote text"/>
    <w:basedOn w:val="Normal"/>
    <w:link w:val="FootnoteTextChar"/>
    <w:uiPriority w:val="99"/>
    <w:rsid w:val="004C7C11"/>
    <w:pPr>
      <w:spacing w:after="0" w:line="240" w:lineRule="auto"/>
    </w:pPr>
    <w:rPr>
      <w:rFonts w:ascii="Times New Roman" w:eastAsia="Times New Roman" w:hAnsi="Times New Roman" w:cs="Times New Roman"/>
      <w:sz w:val="20"/>
      <w:szCs w:val="20"/>
      <w:lang w:eastAsia="he-IL"/>
    </w:rPr>
  </w:style>
  <w:style w:type="character" w:customStyle="1" w:styleId="FootnoteTextChar">
    <w:name w:val="Footnote Text Char"/>
    <w:basedOn w:val="DefaultParagraphFont"/>
    <w:link w:val="FootnoteText"/>
    <w:uiPriority w:val="99"/>
    <w:rsid w:val="004C7C11"/>
    <w:rPr>
      <w:rFonts w:ascii="Times New Roman" w:eastAsia="Times New Roman" w:hAnsi="Times New Roman" w:cs="Times New Roman"/>
      <w:sz w:val="20"/>
      <w:szCs w:val="20"/>
      <w:lang w:eastAsia="he-IL"/>
    </w:rPr>
  </w:style>
  <w:style w:type="character" w:styleId="FootnoteReference">
    <w:name w:val="footnote reference"/>
    <w:uiPriority w:val="99"/>
    <w:rsid w:val="004C7C11"/>
    <w:rPr>
      <w:vertAlign w:val="superscript"/>
    </w:rPr>
  </w:style>
  <w:style w:type="paragraph" w:styleId="ListParagraph">
    <w:name w:val="List Paragraph"/>
    <w:basedOn w:val="Normal"/>
    <w:link w:val="ListParagraphChar"/>
    <w:uiPriority w:val="34"/>
    <w:qFormat/>
    <w:rsid w:val="004C7C11"/>
    <w:pPr>
      <w:ind w:left="720"/>
      <w:contextualSpacing/>
    </w:pPr>
  </w:style>
  <w:style w:type="character" w:styleId="CommentReference">
    <w:name w:val="annotation reference"/>
    <w:basedOn w:val="DefaultParagraphFont"/>
    <w:uiPriority w:val="99"/>
    <w:semiHidden/>
    <w:unhideWhenUsed/>
    <w:rsid w:val="004C7C11"/>
    <w:rPr>
      <w:sz w:val="16"/>
      <w:szCs w:val="16"/>
    </w:rPr>
  </w:style>
  <w:style w:type="character" w:customStyle="1" w:styleId="ListParagraphChar">
    <w:name w:val="List Paragraph Char"/>
    <w:basedOn w:val="DefaultParagraphFont"/>
    <w:link w:val="ListParagraph"/>
    <w:uiPriority w:val="34"/>
    <w:locked/>
    <w:rsid w:val="004C7C11"/>
  </w:style>
  <w:style w:type="paragraph" w:styleId="Title">
    <w:name w:val="Title"/>
    <w:basedOn w:val="Normal"/>
    <w:next w:val="Normal"/>
    <w:link w:val="TitleChar"/>
    <w:qFormat/>
    <w:rsid w:val="004C7C11"/>
    <w:pPr>
      <w:spacing w:after="0" w:line="240" w:lineRule="auto"/>
      <w:contextualSpacing/>
      <w:jc w:val="both"/>
    </w:pPr>
    <w:rPr>
      <w:rFonts w:asciiTheme="majorHAnsi" w:eastAsiaTheme="majorEastAsia" w:hAnsiTheme="majorHAnsi" w:cstheme="majorBidi"/>
      <w:spacing w:val="-10"/>
      <w:kern w:val="28"/>
      <w:sz w:val="56"/>
      <w:szCs w:val="56"/>
      <w:lang w:eastAsia="he-IL"/>
    </w:rPr>
  </w:style>
  <w:style w:type="character" w:customStyle="1" w:styleId="TitleChar">
    <w:name w:val="Title Char"/>
    <w:basedOn w:val="DefaultParagraphFont"/>
    <w:link w:val="Title"/>
    <w:rsid w:val="004C7C11"/>
    <w:rPr>
      <w:rFonts w:asciiTheme="majorHAnsi" w:eastAsiaTheme="majorEastAsia" w:hAnsiTheme="majorHAnsi" w:cstheme="majorBidi"/>
      <w:spacing w:val="-10"/>
      <w:kern w:val="28"/>
      <w:sz w:val="56"/>
      <w:szCs w:val="56"/>
      <w:lang w:eastAsia="he-IL"/>
    </w:rPr>
  </w:style>
  <w:style w:type="character" w:styleId="Hyperlink">
    <w:name w:val="Hyperlink"/>
    <w:basedOn w:val="DefaultParagraphFont"/>
    <w:uiPriority w:val="99"/>
    <w:unhideWhenUsed/>
    <w:rsid w:val="00C64684"/>
    <w:rPr>
      <w:color w:val="0563C1" w:themeColor="hyperlink"/>
      <w:u w:val="single"/>
    </w:rPr>
  </w:style>
  <w:style w:type="paragraph" w:styleId="CommentText">
    <w:name w:val="annotation text"/>
    <w:basedOn w:val="Normal"/>
    <w:link w:val="CommentTextChar"/>
    <w:uiPriority w:val="99"/>
    <w:semiHidden/>
    <w:unhideWhenUsed/>
    <w:rsid w:val="00A0169D"/>
    <w:pPr>
      <w:spacing w:line="240" w:lineRule="auto"/>
    </w:pPr>
    <w:rPr>
      <w:sz w:val="20"/>
      <w:szCs w:val="20"/>
    </w:rPr>
  </w:style>
  <w:style w:type="character" w:customStyle="1" w:styleId="CommentTextChar">
    <w:name w:val="Comment Text Char"/>
    <w:basedOn w:val="DefaultParagraphFont"/>
    <w:link w:val="CommentText"/>
    <w:uiPriority w:val="99"/>
    <w:semiHidden/>
    <w:rsid w:val="00A0169D"/>
    <w:rPr>
      <w:sz w:val="20"/>
      <w:szCs w:val="20"/>
    </w:rPr>
  </w:style>
  <w:style w:type="paragraph" w:styleId="CommentSubject">
    <w:name w:val="annotation subject"/>
    <w:basedOn w:val="CommentText"/>
    <w:next w:val="CommentText"/>
    <w:link w:val="CommentSubjectChar"/>
    <w:uiPriority w:val="99"/>
    <w:semiHidden/>
    <w:unhideWhenUsed/>
    <w:rsid w:val="00A0169D"/>
    <w:rPr>
      <w:b/>
      <w:bCs/>
    </w:rPr>
  </w:style>
  <w:style w:type="character" w:customStyle="1" w:styleId="CommentSubjectChar">
    <w:name w:val="Comment Subject Char"/>
    <w:basedOn w:val="CommentTextChar"/>
    <w:link w:val="CommentSubject"/>
    <w:uiPriority w:val="99"/>
    <w:semiHidden/>
    <w:rsid w:val="00A0169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9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3" Type="http://schemas.openxmlformats.org/officeDocument/2006/relationships/hyperlink" Target="https://www.gov.il/he/Departments/legalInfo/opiniondirec-consultelect" TargetMode="External"/><Relationship Id="rId2" Type="http://schemas.openxmlformats.org/officeDocument/2006/relationships/hyperlink" Target="https://www.gov.il/he/Departments/policies/statement-electricity" TargetMode="External"/><Relationship Id="rId1" Type="http://schemas.openxmlformats.org/officeDocument/2006/relationships/hyperlink" Target="https://www.gov.il/he/Departments/policies/dec3859_2018" TargetMode="External"/><Relationship Id="rId6" Type="http://schemas.openxmlformats.org/officeDocument/2006/relationships/hyperlink" Target="https://pua.gov.il/decisions/documents/57211.pdf" TargetMode="External"/><Relationship Id="rId5" Type="http://schemas.openxmlformats.org/officeDocument/2006/relationships/hyperlink" Target="https://pua.gov.il/decisions/documents/1910_nnn.pdf" TargetMode="External"/><Relationship Id="rId4" Type="http://schemas.openxmlformats.org/officeDocument/2006/relationships/hyperlink" Target="https://pua.gov.il/decisions/documents/1284nn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75096B-C6CE-4CEA-B239-6C366B152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2025</Words>
  <Characters>10127</Characters>
  <Application>Microsoft Office Word</Application>
  <DocSecurity>0</DocSecurity>
  <Lines>84</Lines>
  <Paragraphs>24</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Rashut_domain</Company>
  <LinksUpToDate>false</LinksUpToDate>
  <CharactersWithSpaces>12128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Nofar hadar</dc:creator>
  <cp:keywords/>
  <dc:description/>
  <cp:lastModifiedBy>RASHUT</cp:lastModifiedBy>
  <cp:revision>2</cp:revision>
  <cp:lastPrinted>2019-09-02T05:49:00Z</cp:lastPrinted>
  <dcterms:created xsi:type="dcterms:W3CDTF">2020-01-30T10:49:00Z</dcterms:created>
  <dcterms:modified xsi:type="dcterms:W3CDTF">2020-01-30T10:49:00Z</dcterms:modified>
</cp:coreProperties>
</file>